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Bookman Old Style" w:hAnsi="Bookman Old Style"/>
          <w:b/>
          <w:sz w:val="32"/>
        </w:rPr>
        <w:br/>
        <w:br/>
        <w:br/>
        <w:br/>
        <w:t>The Abstraction Layer Problem in East African Technology Regulation:</w:t>
        <w:br/>
        <w:t>A Critical Analysis of Statutory Fragmentation and the Regulatory Blind Spot</w:t>
      </w:r>
    </w:p>
    <w:p>
      <w:pPr>
        <w:jc w:val="center"/>
      </w:pPr>
      <w:r>
        <w:rPr>
          <w:rFonts w:ascii="Bookman Old Style" w:hAnsi="Bookman Old Style"/>
          <w:sz w:val="24"/>
        </w:rPr>
        <w:br/>
        <w:br/>
        <w:t>Research Paper</w:t>
        <w:br/>
        <w:br/>
        <w:t>[Author Name]</w:t>
        <w:br/>
        <w:t>[Date]</w:t>
      </w:r>
    </w:p>
    <w:p>
      <w:r>
        <w:br w:type="page"/>
      </w:r>
    </w:p>
    <w:p>
      <w:pPr>
        <w:pStyle w:val="Heading1"/>
      </w:pPr>
      <w:r>
        <w:rPr>
          <w:rFonts w:ascii="Bookman Old Style" w:hAnsi="Bookman Old Style"/>
          <w:color w:val="000000"/>
        </w:rPr>
        <w:t>Abstract</w:t>
      </w:r>
    </w:p>
    <w:p>
      <w:r>
        <w:rPr>
          <w:rFonts w:ascii="Bookman Old Style" w:hAnsi="Bookman Old Style"/>
          <w:sz w:val="24"/>
        </w:rPr>
        <w:t>Modern technology systems are built on layered abstractions. The programmer does not manage transistors; the cloud architect does not manage submarine cables. Each layer trusts the one below it. This vertical abstraction layer is the foundation of digital scalability, but it also creates a characteristic blind spot: no single actor sees the full stack. This paper argues that the same problem exists horizontally in technology regulation across East Africa. Multiple statutory regimes, institutionally siloed agencies, and inconsistent foundational definitions of words as fundamental as ‘computer’ and ‘computer system’ create a regulatory abstraction layer that is structurally incapable of coherent oversight. The paper begins by examining the vertical abstraction layer in computing, drawing on Tanenbaum and the OSI model, to establish a framework. It then turns to the horizontal regulatory abstraction layer, first through a forensic comparison of four statutory definitions in Uganda, Tanzania, Rwanda, and Kenya, exposing deep conceptual fragmentation. It maps the lived experience of a Ugandan fintech startup confronting twelve separate regulators, ties fragmentation to quantified economic harm using ICT sector data, and analyses the EU Cyber Resilience Act as a possible template. The paper argues that the absence of a regulatory abstraction layer mechanism – a structural counterpart to the technical abstraction layer – is the defining institutional failure of East African technology governance, and proposes four concrete reforms towards a harmonised regional framework.</w:t>
      </w:r>
    </w:p>
    <w:p>
      <w:r>
        <w:br w:type="page"/>
      </w:r>
    </w:p>
    <w:p>
      <w:pPr>
        <w:pStyle w:val="Heading1"/>
      </w:pPr>
      <w:r>
        <w:rPr>
          <w:rFonts w:ascii="Bookman Old Style" w:hAnsi="Bookman Old Style"/>
          <w:color w:val="000000"/>
        </w:rPr>
        <w:t>1. Introduction</w:t>
      </w:r>
    </w:p>
    <w:p>
      <w:r>
        <w:rPr>
          <w:rFonts w:ascii="Bookman Old Style" w:hAnsi="Bookman Old Style"/>
          <w:sz w:val="24"/>
        </w:rPr>
        <w:t>The abstraction layer problem is a well-recognised structural challenge in computer science. Andrew S. Tanenbaum articulates it as the principle that each layer of a computer system hides the complexity of the layer below it, allowing designers to reason about one level at a time.</w:t>
      </w:r>
      <w:r>
        <w:rPr>
          <w:rStyle w:val="FootnoteReference"/>
          <w:vertAlign w:val="superscript"/>
        </w:rPr>
        <w:footnoteReference w:id="1"/>
      </w:r>
    </w:p>
    <w:p>
      <w:r>
        <w:rPr>
          <w:rFonts w:ascii="Bookman Old Style" w:hAnsi="Bookman Old Style"/>
          <w:b w:val="0"/>
          <w:i w:val="0"/>
          <w:sz w:val="24"/>
        </w:rPr>
        <w:t>The Open Systems Interconnection (OSI) model formalised this insight into seven layers, from physical hardware to application software. The genius of this arrangement is that it enables scalability: a web developer does not need to understand transistor logic, and a cloud architect does not need to manage submarine cables. But the abstraction layer also produces a characteristic blind spot. When something goes wrong at layer two (the data link layer) or layer six (the presentation layer), no single actor at any other layer has complete visibility into the cause. The system depends on trust between layers, and when that trust fails, the failure propagates upwards and downwards simultaneously.</w:t>
      </w:r>
    </w:p>
    <w:p>
      <w:r>
        <w:rPr>
          <w:rFonts w:ascii="Bookman Old Style" w:hAnsi="Bookman Old Style"/>
          <w:b w:val="0"/>
          <w:i w:val="0"/>
          <w:sz w:val="24"/>
        </w:rPr>
        <w:t>This paper argues that the same structural problem exists horizontally in the regulation of technology across East Africa. Just as the technical stack is divided into specialised layers, the regulatory landscape is divided into specialised statutory regimes, each with its own definitions, its own enforcement institution, and its own epistemic community. A technology product entering the East African market must satisfy, depending on jurisdiction, between eight and fourteen distinct regulatory bodies. Each of these bodies operates within a statutory silo, and the foundational definitions those statutes use are not consistent across borders or even, in some cases, within the same jurisdiction. The result is a regulatory abstraction layer: a stack of disconnected institutional layers that, like their technical counterparts, produce a structural blind spot. No single regulator sees the full stack. No statutory definition bridges the layers.</w:t>
      </w:r>
    </w:p>
    <w:p>
      <w:r>
        <w:rPr>
          <w:rFonts w:ascii="Bookman Old Style" w:hAnsi="Bookman Old Style"/>
          <w:b w:val="0"/>
          <w:i w:val="0"/>
          <w:sz w:val="24"/>
        </w:rPr>
        <w:t>The consequences are not merely doctrinal. They include measurable economic harm in the form of elevated compliance costs for startups and SMEs, which are the primary drivers of digital employment across the region. They include regulatory gaps through which unsafe or obsolete technology can pass undetected. And they include an accelerating obsolescence trap, in which East Africa becomes a destination of choice for technology products that cannot be sold in jurisdictions with coherent, horizontally integrated regulatory systems.</w:t>
      </w:r>
    </w:p>
    <w:p>
      <w:pPr>
        <w:pStyle w:val="Heading1"/>
      </w:pPr>
      <w:r>
        <w:rPr>
          <w:rFonts w:ascii="Bookman Old Style" w:hAnsi="Bookman Old Style"/>
          <w:color w:val="000000"/>
        </w:rPr>
        <w:t>2. The Vertical Abstraction Layer: The Technical Foundation</w:t>
      </w:r>
    </w:p>
    <w:p>
      <w:r>
        <w:rPr>
          <w:rFonts w:ascii="Bookman Old Style" w:hAnsi="Bookman Old Style"/>
          <w:sz w:val="24"/>
        </w:rPr>
        <w:t>The concept of the abstraction layer is central to modern computing. Charles Antony Richard Hoare observed that the entire history of software engineering is a history of increasing levels of abstraction.</w:t>
      </w:r>
      <w:r>
        <w:rPr>
          <w:rStyle w:val="FootnoteReference"/>
          <w:vertAlign w:val="superscript"/>
        </w:rPr>
        <w:footnoteReference w:id="2"/>
      </w:r>
    </w:p>
    <w:p>
      <w:r>
        <w:rPr>
          <w:rFonts w:ascii="Bookman Old Style" w:hAnsi="Bookman Old Style"/>
          <w:b w:val="0"/>
          <w:i w:val="0"/>
          <w:sz w:val="24"/>
        </w:rPr>
        <w:t>The OSI model, published by the International Organization for Standardization as ISO/IEC 7498-1, distinguishes seven layers: physical, data link, network, transport, session, presentation, and application. Each layer provides services to the layer above and consumes services from the layer below. In practice, the Internet protocol suite TCP/IP collapses these into four layers, but the principle remains the same: each layer is defined by its interface, not its implementation.</w:t>
      </w:r>
    </w:p>
    <w:p>
      <w:r>
        <w:rPr>
          <w:rFonts w:ascii="Bookman Old Style" w:hAnsi="Bookman Old Style"/>
          <w:sz w:val="24"/>
        </w:rPr>
        <w:t>The critical insight for the present analysis is that the abstraction layer produces both an efficiency gain and a structural vulnerability. The efficiency gain is that each layer can be developed, optimised, and replaced independently. The vulnerability is that each layer depends on the correctness and security of the layers below it. The CrowdStrike outage of July 2024 illustrates this dramatically: a defect at the kernel-level security layer propagated upward to affect airlines, hospitals, and financial systems at the application layer, while remaining invisible to any of those affected systems until failure occurred.</w:t>
      </w:r>
      <w:r>
        <w:rPr>
          <w:rStyle w:val="FootnoteReference"/>
          <w:vertAlign w:val="superscript"/>
        </w:rPr>
        <w:footnoteReference w:id="3"/>
      </w:r>
    </w:p>
    <w:p>
      <w:r>
        <w:rPr>
          <w:rFonts w:ascii="Bookman Old Style" w:hAnsi="Bookman Old Style"/>
          <w:b w:val="0"/>
          <w:i w:val="0"/>
          <w:sz w:val="24"/>
        </w:rPr>
        <w:t>This dual character of the abstraction layer – as enabler and vulnerability – provides the analytical framework for the regulatory analysis that follows.</w:t>
      </w:r>
    </w:p>
    <w:p>
      <w:pPr>
        <w:pStyle w:val="Heading1"/>
      </w:pPr>
      <w:r>
        <w:rPr>
          <w:rFonts w:ascii="Bookman Old Style" w:hAnsi="Bookman Old Style"/>
          <w:color w:val="000000"/>
        </w:rPr>
        <w:t>3. The Horizontal Abstraction Layer: The Regulatory Stack</w:t>
      </w:r>
    </w:p>
    <w:p>
      <w:r>
        <w:rPr>
          <w:rFonts w:ascii="Bookman Old Style" w:hAnsi="Bookman Old Style"/>
          <w:b w:val="0"/>
          <w:i w:val="0"/>
          <w:sz w:val="24"/>
        </w:rPr>
        <w:t>If the vertical abstraction layer organises technology by function, the horizontal abstraction layer organises regulation by institutional mandate. In East Africa, the regulation of a single technology product – a mobile phone, a point-of-sale device, a cloud-based software service – may fall within the jurisdiction of multiple independent agencies, each operating under separate legislation, each with its own definitional framework, and each with limited or no coordination with the others.</w:t>
      </w:r>
    </w:p>
    <w:p>
      <w:pPr>
        <w:pStyle w:val="Heading2"/>
      </w:pPr>
      <w:r>
        <w:rPr>
          <w:rFonts w:ascii="Bookman Old Style" w:hAnsi="Bookman Old Style"/>
          <w:color w:val="000000"/>
        </w:rPr>
        <w:t>3.1 The Twelve-Regulator Problem: The Ugandan Fintech Startup</w:t>
      </w:r>
    </w:p>
    <w:p>
      <w:r>
        <w:rPr>
          <w:rFonts w:ascii="Bookman Old Style" w:hAnsi="Bookman Old Style"/>
          <w:sz w:val="24"/>
        </w:rPr>
        <w:t>Consider the compliance pathway of a fintech startup incorporated in Uganda. Before it can offer a digital payment service to the public, the startup must navigate the following regulatory bodies: (1) the Uganda Registration Services Bureau (URSB) for incorporation and annual registration; (2) the Uganda Revenue Authority (URA) for tax registration, VAT, and corporate tax; (3) the Kampala Capital City Authority (KCCA) or relevant local council for trading licences; (4) the National Social Security Fund (NSSF) for employee social security registration; (5) the Bank of Uganda (BOU) for payment service provider licensing; (6) the Uganda Microfinance Regulatory Authority (UMRA) for any lending activity; (7) the Financial Intelligence Authority (FIA) for anti-money laundering compliance; (8) the Uganda Communications Commission (UCC) for telecommunications and electronic communications licensing; (9) the National Information Technology Authority-Uganda (NITA-U) for IT standards and e-government interoperability; (10) the Uganda National Bureau of Standards (UNBS) for product and service standards; (11) the Uganda Investment Authority (UIA) for investment incentives; and, where the startup has foreign shareholders or directors, (12) the relevant authority under the Sovereignty of the People and Protection of Citizens Act 2023.</w:t>
      </w:r>
      <w:r>
        <w:rPr>
          <w:rStyle w:val="FootnoteReference"/>
          <w:vertAlign w:val="superscript"/>
        </w:rPr>
        <w:footnoteReference w:id="4"/>
      </w:r>
    </w:p>
    <w:p>
      <w:r>
        <w:rPr>
          <w:rFonts w:ascii="Bookman Old Style" w:hAnsi="Bookman Old Style"/>
          <w:b w:val="0"/>
          <w:i w:val="0"/>
          <w:sz w:val="24"/>
        </w:rPr>
        <w:t>Each of these twelve agencies has its own registration process, its own reporting timelines, its own data requirements, and its own enforcement powers. None of them has a statutory mandate to coordinate with any of the others on technology regulation. The startup is therefore required to be the integrating layer – the entity that joins up the regulatory abstraction stack because the institutional architecture cannot. The cost of this integration is borne entirely by the regulated entity, and it is a cost that increases with every additional regulatory silo.</w:t>
      </w:r>
    </w:p>
    <w:p>
      <w:pPr>
        <w:pStyle w:val="Heading2"/>
      </w:pPr>
      <w:r>
        <w:rPr>
          <w:rFonts w:ascii="Bookman Old Style" w:hAnsi="Bookman Old Style"/>
          <w:color w:val="000000"/>
        </w:rPr>
        <w:t>3.2 The Economic Stakes: Quantified</w:t>
      </w:r>
    </w:p>
    <w:p>
      <w:r>
        <w:rPr>
          <w:rFonts w:ascii="Bookman Old Style" w:hAnsi="Bookman Old Style"/>
          <w:sz w:val="24"/>
        </w:rPr>
        <w:t>The economic significance of the digital sector across East Africa is substantial and growing. In Kenya, the information and communication technology (ICT) sector contributed 10.8 per cent of GDP in 2024, growing at an annual average of 8.2 per cent.</w:t>
      </w:r>
      <w:r>
        <w:rPr>
          <w:rStyle w:val="FootnoteReference"/>
          <w:vertAlign w:val="superscript"/>
        </w:rPr>
        <w:footnoteReference w:id="5"/>
      </w:r>
      <w:r>
        <w:rPr>
          <w:rFonts w:ascii="Bookman Old Style" w:hAnsi="Bookman Old Style"/>
          <w:sz w:val="24"/>
        </w:rPr>
        <w:t xml:space="preserve"> In Rwanda, the ICT sector contributed 19 per cent of GDP in the first quarter of 2025, driven primarily by mobile financial services and digital infrastructure investment.</w:t>
      </w:r>
    </w:p>
    <w:p>
      <w:r>
        <w:rPr>
          <w:rFonts w:ascii="Bookman Old Style" w:hAnsi="Bookman Old Style"/>
          <w:sz w:val="24"/>
        </w:rPr>
        <w:t>For comparative context, Singapore’s digital economy contributed 18.6 per cent of GDP in 2023, up from 14.9 per cent in 2019, following the consolidation of its regulatory agencies into the Infocomm Media Development Authority (IMDA) in 2016.</w:t>
      </w:r>
      <w:r>
        <w:rPr>
          <w:rStyle w:val="FootnoteReference"/>
          <w:vertAlign w:val="superscript"/>
        </w:rPr>
        <w:footnoteReference w:id="6"/>
      </w:r>
      <w:r>
        <w:rPr>
          <w:rFonts w:ascii="Bookman Old Style" w:hAnsi="Bookman Old Style"/>
          <w:sz w:val="24"/>
        </w:rPr>
      </w:r>
    </w:p>
    <w:p>
      <w:r>
        <w:rPr>
          <w:rFonts w:ascii="Bookman Old Style" w:hAnsi="Bookman Old Style"/>
          <w:sz w:val="24"/>
        </w:rPr>
        <w:t>The Singapore comparison is instructive. The IMDA merger, which consolidated telecommunications, media, and technology regulation under a single agency, was followed by a measurable acceleration in digital economic output. Between 2019 and 2023, Singapore’s digital economy grew by 25 per cent in real terms, and the Infocomm and Technology sector workforce reached 80,000 by 2024, matching the target set in the 2020 Digital Economy Blueprint.</w:t>
      </w:r>
      <w:r>
        <w:rPr>
          <w:rStyle w:val="FootnoteReference"/>
          <w:vertAlign w:val="superscript"/>
        </w:rPr>
        <w:footnoteReference w:id="7"/>
      </w:r>
    </w:p>
    <w:p>
      <w:r>
        <w:rPr>
          <w:rFonts w:ascii="Bookman Old Style" w:hAnsi="Bookman Old Style"/>
          <w:sz w:val="24"/>
        </w:rPr>
        <w:t>The East African figures, while impressive in absolute terms, must be understood against the regulatory fragmentation described above. Fragmented regulation acts as a tax on digital economic activity: it increases the cost of compliance, delays time-to-market, and discourages both domestic entrepreneurship and foreign direct investment. The World Bank’s Digital Economy for Africa initiative has identified regulatory harmonisation as one of five priority areas for achieving a unified digital market in Africa by 2030.</w:t>
      </w:r>
      <w:r>
        <w:rPr>
          <w:rStyle w:val="FootnoteReference"/>
          <w:vertAlign w:val="superscript"/>
        </w:rPr>
        <w:footnoteReference w:id="8"/>
      </w:r>
    </w:p>
    <w:p>
      <w:pPr>
        <w:pStyle w:val="Heading1"/>
      </w:pPr>
      <w:r>
        <w:rPr>
          <w:rFonts w:ascii="Bookman Old Style" w:hAnsi="Bookman Old Style"/>
          <w:color w:val="000000"/>
        </w:rPr>
        <w:t>4. Statutory Definitions and Conceptual Fragmentation</w:t>
      </w:r>
    </w:p>
    <w:p>
      <w:r>
        <w:rPr>
          <w:rFonts w:ascii="Bookman Old Style" w:hAnsi="Bookman Old Style"/>
          <w:b w:val="0"/>
          <w:i w:val="0"/>
          <w:sz w:val="24"/>
        </w:rPr>
        <w:t>The horizontal abstraction layer problem is not merely institutional but conceptual. The foundational definitions upon which technology regulation depends are not harmonised across East Africa, and in some cases are not internally consistent within a single jurisdiction. This section examines the statutory definitions of computer and computer system across four East African jurisdictions, reproducing the precise text of each definition from the official legislative source.</w:t>
      </w:r>
    </w:p>
    <w:p>
      <w:pPr>
        <w:pStyle w:val="Heading2"/>
      </w:pPr>
      <w:r>
        <w:rPr>
          <w:rFonts w:ascii="Bookman Old Style" w:hAnsi="Bookman Old Style"/>
          <w:color w:val="000000"/>
        </w:rPr>
        <w:t>4.1 Uganda: Computer Misuse Act 2011</w:t>
      </w:r>
    </w:p>
    <w:p>
      <w:r>
        <w:rPr>
          <w:rFonts w:ascii="Bookman Old Style" w:hAnsi="Bookman Old Style"/>
          <w:b w:val="0"/>
          <w:i/>
          <w:sz w:val="24"/>
        </w:rPr>
        <w:t>The Computer Misuse Act 2011 (Uganda), section 1, defines ‘computer’ as follows:</w:t>
      </w:r>
    </w:p>
    <w:p>
      <w:pPr>
        <w:ind w:left="720" w:right="720"/>
      </w:pPr>
      <w:r>
        <w:rPr>
          <w:rFonts w:ascii="Bookman Old Style" w:hAnsi="Bookman Old Style"/>
          <w:i/>
          <w:sz w:val="24"/>
        </w:rPr>
        <w:t>“computer” means an electronic, magnetic, optical, electrochemical or other data processing device or a group of such interconnected or related devices, performing logical, arithmetic or storage functions; and includes any data storage facility or communications facility directly related to or operating in conjunction with such a device or group of such interconnected or related devices;</w:t>
      </w:r>
    </w:p>
    <w:p>
      <w:r>
        <w:rPr>
          <w:rFonts w:ascii="Bookman Old Style" w:hAnsi="Bookman Old Style"/>
          <w:sz w:val="24"/>
        </w:rPr>
        <w:t>The Ugandan definition is notably broad and technologically neutral. By including magnetic, optical, electrochemical or other data processing device, the legislature anticipated forms of computing technology beyond the purely electronic. The definition also explicitly includes data storage and communications facilities, extending the concept beyond the processing unit itself. This breadth is commendable, but it creates interpretive challenges when applied alongside other Ugandan statutes that use narrower or different formulations of related terms.</w:t>
      </w:r>
      <w:r>
        <w:rPr>
          <w:rStyle w:val="FootnoteReference"/>
          <w:vertAlign w:val="superscript"/>
        </w:rPr>
        <w:footnoteReference w:id="9"/>
      </w:r>
    </w:p>
    <w:p>
      <w:pPr>
        <w:pStyle w:val="Heading2"/>
      </w:pPr>
      <w:r>
        <w:rPr>
          <w:rFonts w:ascii="Bookman Old Style" w:hAnsi="Bookman Old Style"/>
          <w:color w:val="000000"/>
        </w:rPr>
        <w:t>4.2 Tanzania: Cybercrimes Act 2015</w:t>
      </w:r>
    </w:p>
    <w:p>
      <w:r>
        <w:rPr>
          <w:rFonts w:ascii="Bookman Old Style" w:hAnsi="Bookman Old Style"/>
          <w:b w:val="0"/>
          <w:i/>
          <w:sz w:val="24"/>
        </w:rPr>
        <w:t>The Cybercrimes Act 2015 (Tanzania), section 3, defines ‘computer system’ as follows:</w:t>
      </w:r>
    </w:p>
    <w:p>
      <w:pPr>
        <w:ind w:left="720" w:right="720"/>
      </w:pPr>
      <w:r>
        <w:rPr>
          <w:rFonts w:ascii="Bookman Old Style" w:hAnsi="Bookman Old Style"/>
          <w:i/>
          <w:sz w:val="24"/>
        </w:rPr>
        <w:t>“computer system” means a device or combination of devices, including network, input and output devices designed to function as a computer system;</w:t>
      </w:r>
    </w:p>
    <w:p>
      <w:r>
        <w:rPr>
          <w:rFonts w:ascii="Bookman Old Style" w:hAnsi="Bookman Old Style"/>
          <w:sz w:val="24"/>
        </w:rPr>
        <w:t>The Tanzanian definition takes a narrower approach than its Ugandan counterpart. It does not specify the technologies (electronic, magnetic, optical, etc.) that the device may use, and it ties the definition to a functional criterion: the device must be designed to function as a computer system. This introduces a teleological element that the Ugandan definition lacks. The Tanzanian definition also omits any reference to storage or communications facilities as separate components, potentially creating gaps in coverage.</w:t>
      </w:r>
      <w:r>
        <w:rPr>
          <w:rStyle w:val="FootnoteReference"/>
          <w:vertAlign w:val="superscript"/>
        </w:rPr>
        <w:footnoteReference w:id="10"/>
      </w:r>
    </w:p>
    <w:p>
      <w:pPr>
        <w:pStyle w:val="Heading2"/>
      </w:pPr>
      <w:r>
        <w:rPr>
          <w:rFonts w:ascii="Bookman Old Style" w:hAnsi="Bookman Old Style"/>
          <w:color w:val="000000"/>
        </w:rPr>
        <w:t>4.3 Rwanda: Law No 60/2018 of 22/8/2018</w:t>
      </w:r>
    </w:p>
    <w:p>
      <w:r>
        <w:rPr>
          <w:rFonts w:ascii="Bookman Old Style" w:hAnsi="Bookman Old Style"/>
          <w:b w:val="0"/>
          <w:i/>
          <w:sz w:val="24"/>
        </w:rPr>
        <w:t>Law No 60/2018 of 22/8/2018 on the Prevention and Punishment of Cyber Crimes, Article 3, defines both computer and computer system. Article 3(6°) provides:</w:t>
      </w:r>
    </w:p>
    <w:p>
      <w:pPr>
        <w:ind w:left="720" w:right="720"/>
      </w:pPr>
      <w:r>
        <w:rPr>
          <w:rFonts w:ascii="Bookman Old Style" w:hAnsi="Bookman Old Style"/>
          <w:i/>
          <w:sz w:val="24"/>
        </w:rPr>
        <w:t>“computer”: includes mobile phones, smart phones, computer networks and other devices connected to the internet;</w:t>
      </w:r>
    </w:p>
    <w:p>
      <w:r>
        <w:rPr>
          <w:rFonts w:ascii="Bookman Old Style" w:hAnsi="Bookman Old Style"/>
          <w:b w:val="0"/>
          <w:i/>
          <w:sz w:val="24"/>
        </w:rPr>
        <w:t>Article 3(11°) defines ‘computer system’ separately:</w:t>
      </w:r>
    </w:p>
    <w:p>
      <w:pPr>
        <w:ind w:left="720" w:right="720"/>
      </w:pPr>
      <w:r>
        <w:rPr>
          <w:rFonts w:ascii="Bookman Old Style" w:hAnsi="Bookman Old Style"/>
          <w:i/>
          <w:sz w:val="24"/>
        </w:rPr>
        <w:t>“computer system”: an electronic device or combination of electronic devices composed of hardware or software, including input and output devices with data processing and storage capabilities;</w:t>
      </w:r>
    </w:p>
    <w:p>
      <w:r>
        <w:rPr>
          <w:rFonts w:ascii="Bookman Old Style" w:hAnsi="Bookman Old Style"/>
          <w:sz w:val="24"/>
        </w:rPr>
        <w:t>Rwanda’s approach is unique in the region for providing separate definitions of computer and computer system in the same statute. The definition of computer is device-specific and inclusive (using ‘includes’), while the definition of computer system is function-specific, referring to hardware or software with data processing and storage capabilities. This dual definitional structure creates internal complexity: the concept of computer is explicitly connected to internet-enabled devices, while computer system is not. The relationship between the two definitions is not made clear in the statute.</w:t>
      </w:r>
      <w:r>
        <w:rPr>
          <w:rStyle w:val="FootnoteReference"/>
          <w:vertAlign w:val="superscript"/>
        </w:rPr>
        <w:footnoteReference w:id="11"/>
      </w:r>
    </w:p>
    <w:p>
      <w:pPr>
        <w:pStyle w:val="Heading2"/>
      </w:pPr>
      <w:r>
        <w:rPr>
          <w:rFonts w:ascii="Bookman Old Style" w:hAnsi="Bookman Old Style"/>
          <w:color w:val="000000"/>
        </w:rPr>
        <w:t>4.4 Kenya: Computer Misuse and Cybercrimes Act 2018</w:t>
      </w:r>
    </w:p>
    <w:p>
      <w:r>
        <w:rPr>
          <w:rFonts w:ascii="Bookman Old Style" w:hAnsi="Bookman Old Style"/>
          <w:b w:val="0"/>
          <w:i/>
          <w:sz w:val="24"/>
        </w:rPr>
        <w:t>The Computer Misuse and Cybercrimes Act 2018 (Kenya), section 2, defines ‘computer system’ as follows:</w:t>
      </w:r>
    </w:p>
    <w:p>
      <w:pPr>
        <w:ind w:left="720" w:right="720"/>
      </w:pPr>
      <w:r>
        <w:rPr>
          <w:rFonts w:ascii="Bookman Old Style" w:hAnsi="Bookman Old Style"/>
          <w:i/>
          <w:sz w:val="24"/>
        </w:rPr>
        <w:t>“computer system” means a physical or virtual device, or a set of associated physical or virtual devices, which use electronic, magnetic, optical or other technology, to perform logical, arithmetic storage and communication functions on data or which perform control functions on physical or virtual devices including mobile devices and reference to a computer system includes a reference to part of a computer system;</w:t>
      </w:r>
    </w:p>
    <w:p>
      <w:r>
        <w:rPr>
          <w:rFonts w:ascii="Bookman Old Style" w:hAnsi="Bookman Old Style"/>
          <w:sz w:val="24"/>
        </w:rPr>
        <w:t>Kenya’s definition is the most comprehensive of the four jurisdictions examined. It explicitly includes virtual devices, covers multiple technology types (electronic, magnetic, optical, or other), and importantly provides that reference to a computer system includes a reference to part of a computer system. This latter provision is significant for the abstraction layer analysis, as it potentially allows a component or subsystem to be regulated as part of a computer system even if it would not independently meet the full definition. The Kenyan definition also explicitly includes mobile devices, bridging the gap between traditional computing and mobile technology.</w:t>
      </w:r>
      <w:r>
        <w:rPr>
          <w:rStyle w:val="FootnoteReference"/>
          <w:vertAlign w:val="superscript"/>
        </w:rPr>
        <w:footnoteReference w:id="12"/>
      </w:r>
    </w:p>
    <w:p>
      <w:pPr>
        <w:pStyle w:val="Heading2"/>
      </w:pPr>
      <w:r>
        <w:rPr>
          <w:rFonts w:ascii="Bookman Old Style" w:hAnsi="Bookman Old Style"/>
          <w:color w:val="000000"/>
        </w:rPr>
        <w:t>4.5 Comparative Analysis</w:t>
      </w:r>
    </w:p>
    <w:p>
      <w:r>
        <w:rPr>
          <w:rFonts w:ascii="Bookman Old Style" w:hAnsi="Bookman Old Style"/>
          <w:b w:val="0"/>
          <w:i w:val="0"/>
          <w:sz w:val="24"/>
        </w:rPr>
        <w:t>The four definitions reveal significant conceptual fragmentation across the region. Table 1 summarises the key differences.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Bookman Old Style" w:hAnsi="Bookman Old Style"/>
                <w:b/>
                <w:sz w:val="20"/>
              </w:rPr>
              <w:t>Feature</w:t>
            </w:r>
          </w:p>
        </w:tc>
        <w:tc>
          <w:tcPr>
            <w:tcW w:type="dxa" w:w="1872"/>
          </w:tcPr>
          <w:p>
            <w:r>
              <w:rPr>
                <w:rFonts w:ascii="Bookman Old Style" w:hAnsi="Bookman Old Style"/>
                <w:b/>
                <w:sz w:val="20"/>
              </w:rPr>
              <w:t>Uganda CMA 2011</w:t>
            </w:r>
          </w:p>
        </w:tc>
        <w:tc>
          <w:tcPr>
            <w:tcW w:type="dxa" w:w="1872"/>
          </w:tcPr>
          <w:p>
            <w:r>
              <w:rPr>
                <w:rFonts w:ascii="Bookman Old Style" w:hAnsi="Bookman Old Style"/>
                <w:b/>
                <w:sz w:val="20"/>
              </w:rPr>
              <w:t>Tanzania Cybercrimes 2015</w:t>
            </w:r>
          </w:p>
        </w:tc>
        <w:tc>
          <w:tcPr>
            <w:tcW w:type="dxa" w:w="1872"/>
          </w:tcPr>
          <w:p>
            <w:r>
              <w:rPr>
                <w:rFonts w:ascii="Bookman Old Style" w:hAnsi="Bookman Old Style"/>
                <w:b/>
                <w:sz w:val="20"/>
              </w:rPr>
              <w:t>Rwanda Law 60/2018</w:t>
            </w:r>
          </w:p>
        </w:tc>
        <w:tc>
          <w:tcPr>
            <w:tcW w:type="dxa" w:w="1872"/>
          </w:tcPr>
          <w:p>
            <w:r>
              <w:rPr>
                <w:rFonts w:ascii="Bookman Old Style" w:hAnsi="Bookman Old Style"/>
                <w:b/>
                <w:sz w:val="20"/>
              </w:rPr>
              <w:t>Kenya CMCA 2018</w:t>
            </w:r>
          </w:p>
        </w:tc>
      </w:tr>
      <w:tr>
        <w:tc>
          <w:tcPr>
            <w:tcW w:type="dxa" w:w="1872"/>
          </w:tcPr>
          <w:p>
            <w:r>
              <w:rPr>
                <w:rFonts w:ascii="Bookman Old Style" w:hAnsi="Bookman Old Style"/>
                <w:sz w:val="20"/>
              </w:rPr>
              <w:t>Defines computer separately</w:t>
            </w:r>
          </w:p>
        </w:tc>
        <w:tc>
          <w:tcPr>
            <w:tcW w:type="dxa" w:w="1872"/>
          </w:tcPr>
          <w:p>
            <w:r>
              <w:rPr>
                <w:rFonts w:ascii="Bookman Old Style" w:hAnsi="Bookman Old Style"/>
                <w:sz w:val="20"/>
              </w:rPr>
              <w:t>Yes</w:t>
            </w:r>
          </w:p>
        </w:tc>
        <w:tc>
          <w:tcPr>
            <w:tcW w:type="dxa" w:w="1872"/>
          </w:tcPr>
          <w:p>
            <w:r>
              <w:rPr>
                <w:rFonts w:ascii="Bookman Old Style" w:hAnsi="Bookman Old Style"/>
                <w:sz w:val="20"/>
              </w:rPr>
              <w:t>No</w:t>
            </w:r>
          </w:p>
        </w:tc>
        <w:tc>
          <w:tcPr>
            <w:tcW w:type="dxa" w:w="1872"/>
          </w:tcPr>
          <w:p>
            <w:r>
              <w:rPr>
                <w:rFonts w:ascii="Bookman Old Style" w:hAnsi="Bookman Old Style"/>
                <w:sz w:val="20"/>
              </w:rPr>
              <w:t>Yes (Art 3(6°))</w:t>
            </w:r>
          </w:p>
        </w:tc>
        <w:tc>
          <w:tcPr>
            <w:tcW w:type="dxa" w:w="1872"/>
          </w:tcPr>
          <w:p>
            <w:r>
              <w:rPr>
                <w:rFonts w:ascii="Bookman Old Style" w:hAnsi="Bookman Old Style"/>
                <w:sz w:val="20"/>
              </w:rPr>
              <w:t>No</w:t>
            </w:r>
          </w:p>
        </w:tc>
      </w:tr>
      <w:tr>
        <w:tc>
          <w:tcPr>
            <w:tcW w:type="dxa" w:w="1872"/>
          </w:tcPr>
          <w:p>
            <w:r>
              <w:rPr>
                <w:rFonts w:ascii="Bookman Old Style" w:hAnsi="Bookman Old Style"/>
                <w:sz w:val="20"/>
              </w:rPr>
              <w:t>Defines computer system</w:t>
            </w:r>
          </w:p>
        </w:tc>
        <w:tc>
          <w:tcPr>
            <w:tcW w:type="dxa" w:w="1872"/>
          </w:tcPr>
          <w:p>
            <w:r>
              <w:rPr>
                <w:rFonts w:ascii="Bookman Old Style" w:hAnsi="Bookman Old Style"/>
                <w:sz w:val="20"/>
              </w:rPr>
              <w:t>No</w:t>
            </w:r>
          </w:p>
        </w:tc>
        <w:tc>
          <w:tcPr>
            <w:tcW w:type="dxa" w:w="1872"/>
          </w:tcPr>
          <w:p>
            <w:r>
              <w:rPr>
                <w:rFonts w:ascii="Bookman Old Style" w:hAnsi="Bookman Old Style"/>
                <w:sz w:val="20"/>
              </w:rPr>
              <w:t>Yes</w:t>
            </w:r>
          </w:p>
        </w:tc>
        <w:tc>
          <w:tcPr>
            <w:tcW w:type="dxa" w:w="1872"/>
          </w:tcPr>
          <w:p>
            <w:r>
              <w:rPr>
                <w:rFonts w:ascii="Bookman Old Style" w:hAnsi="Bookman Old Style"/>
                <w:sz w:val="20"/>
              </w:rPr>
              <w:t>Yes (Art 3(11°))</w:t>
            </w:r>
          </w:p>
        </w:tc>
        <w:tc>
          <w:tcPr>
            <w:tcW w:type="dxa" w:w="1872"/>
          </w:tcPr>
          <w:p>
            <w:r>
              <w:rPr>
                <w:rFonts w:ascii="Bookman Old Style" w:hAnsi="Bookman Old Style"/>
                <w:sz w:val="20"/>
              </w:rPr>
              <w:t>Yes</w:t>
            </w:r>
          </w:p>
        </w:tc>
      </w:tr>
      <w:tr>
        <w:tc>
          <w:tcPr>
            <w:tcW w:type="dxa" w:w="1872"/>
          </w:tcPr>
          <w:p>
            <w:r>
              <w:rPr>
                <w:rFonts w:ascii="Bookman Old Style" w:hAnsi="Bookman Old Style"/>
                <w:sz w:val="20"/>
              </w:rPr>
              <w:t>Includes virtual devices</w:t>
            </w:r>
          </w:p>
        </w:tc>
        <w:tc>
          <w:tcPr>
            <w:tcW w:type="dxa" w:w="1872"/>
          </w:tcPr>
          <w:p>
            <w:r>
              <w:rPr>
                <w:rFonts w:ascii="Bookman Old Style" w:hAnsi="Bookman Old Style"/>
                <w:sz w:val="20"/>
              </w:rPr>
              <w:t>No</w:t>
            </w:r>
          </w:p>
        </w:tc>
        <w:tc>
          <w:tcPr>
            <w:tcW w:type="dxa" w:w="1872"/>
          </w:tcPr>
          <w:p>
            <w:r>
              <w:rPr>
                <w:rFonts w:ascii="Bookman Old Style" w:hAnsi="Bookman Old Style"/>
                <w:sz w:val="20"/>
              </w:rPr>
              <w:t>No</w:t>
            </w:r>
          </w:p>
        </w:tc>
        <w:tc>
          <w:tcPr>
            <w:tcW w:type="dxa" w:w="1872"/>
          </w:tcPr>
          <w:p>
            <w:r>
              <w:rPr>
                <w:rFonts w:ascii="Bookman Old Style" w:hAnsi="Bookman Old Style"/>
                <w:sz w:val="20"/>
              </w:rPr>
              <w:t>No</w:t>
            </w:r>
          </w:p>
        </w:tc>
        <w:tc>
          <w:tcPr>
            <w:tcW w:type="dxa" w:w="1872"/>
          </w:tcPr>
          <w:p>
            <w:r>
              <w:rPr>
                <w:rFonts w:ascii="Bookman Old Style" w:hAnsi="Bookman Old Style"/>
                <w:sz w:val="20"/>
              </w:rPr>
              <w:t>Yes</w:t>
            </w:r>
          </w:p>
        </w:tc>
      </w:tr>
      <w:tr>
        <w:tc>
          <w:tcPr>
            <w:tcW w:type="dxa" w:w="1872"/>
          </w:tcPr>
          <w:p>
            <w:r>
              <w:rPr>
                <w:rFonts w:ascii="Bookman Old Style" w:hAnsi="Bookman Old Style"/>
                <w:sz w:val="20"/>
              </w:rPr>
              <w:t>Specifies technology types</w:t>
            </w:r>
          </w:p>
        </w:tc>
        <w:tc>
          <w:tcPr>
            <w:tcW w:type="dxa" w:w="1872"/>
          </w:tcPr>
          <w:p>
            <w:r>
              <w:rPr>
                <w:rFonts w:ascii="Bookman Old Style" w:hAnsi="Bookman Old Style"/>
                <w:sz w:val="20"/>
              </w:rPr>
              <w:t>Yes (electronic, magnetic, optical, electrochemical)</w:t>
            </w:r>
          </w:p>
        </w:tc>
        <w:tc>
          <w:tcPr>
            <w:tcW w:type="dxa" w:w="1872"/>
          </w:tcPr>
          <w:p>
            <w:r>
              <w:rPr>
                <w:rFonts w:ascii="Bookman Old Style" w:hAnsi="Bookman Old Style"/>
                <w:sz w:val="20"/>
              </w:rPr>
              <w:t>No</w:t>
            </w:r>
          </w:p>
        </w:tc>
        <w:tc>
          <w:tcPr>
            <w:tcW w:type="dxa" w:w="1872"/>
          </w:tcPr>
          <w:p>
            <w:r>
              <w:rPr>
                <w:rFonts w:ascii="Bookman Old Style" w:hAnsi="Bookman Old Style"/>
                <w:sz w:val="20"/>
              </w:rPr>
              <w:t>Yes (electronic)</w:t>
            </w:r>
          </w:p>
        </w:tc>
        <w:tc>
          <w:tcPr>
            <w:tcW w:type="dxa" w:w="1872"/>
          </w:tcPr>
          <w:p>
            <w:r>
              <w:rPr>
                <w:rFonts w:ascii="Bookman Old Style" w:hAnsi="Bookman Old Style"/>
                <w:sz w:val="20"/>
              </w:rPr>
              <w:t>Yes (electronic, magnetic, optical, other)</w:t>
            </w:r>
          </w:p>
        </w:tc>
      </w:tr>
      <w:tr>
        <w:tc>
          <w:tcPr>
            <w:tcW w:type="dxa" w:w="1872"/>
          </w:tcPr>
          <w:p>
            <w:r>
              <w:rPr>
                <w:rFonts w:ascii="Bookman Old Style" w:hAnsi="Bookman Old Style"/>
                <w:sz w:val="20"/>
              </w:rPr>
              <w:t>Includes mobile devices</w:t>
            </w:r>
          </w:p>
        </w:tc>
        <w:tc>
          <w:tcPr>
            <w:tcW w:type="dxa" w:w="1872"/>
          </w:tcPr>
          <w:p>
            <w:r>
              <w:rPr>
                <w:rFonts w:ascii="Bookman Old Style" w:hAnsi="Bookman Old Style"/>
                <w:sz w:val="20"/>
              </w:rPr>
              <w:t>No</w:t>
            </w:r>
          </w:p>
        </w:tc>
        <w:tc>
          <w:tcPr>
            <w:tcW w:type="dxa" w:w="1872"/>
          </w:tcPr>
          <w:p>
            <w:r>
              <w:rPr>
                <w:rFonts w:ascii="Bookman Old Style" w:hAnsi="Bookman Old Style"/>
                <w:sz w:val="20"/>
              </w:rPr>
              <w:t>No</w:t>
            </w:r>
          </w:p>
        </w:tc>
        <w:tc>
          <w:tcPr>
            <w:tcW w:type="dxa" w:w="1872"/>
          </w:tcPr>
          <w:p>
            <w:r>
              <w:rPr>
                <w:rFonts w:ascii="Bookman Old Style" w:hAnsi="Bookman Old Style"/>
                <w:sz w:val="20"/>
              </w:rPr>
              <w:t>Yes (Art 3(6°))</w:t>
            </w:r>
          </w:p>
        </w:tc>
        <w:tc>
          <w:tcPr>
            <w:tcW w:type="dxa" w:w="1872"/>
          </w:tcPr>
          <w:p>
            <w:r>
              <w:rPr>
                <w:rFonts w:ascii="Bookman Old Style" w:hAnsi="Bookman Old Style"/>
                <w:sz w:val="20"/>
              </w:rPr>
              <w:t>Yes (s 2)</w:t>
            </w:r>
          </w:p>
        </w:tc>
      </w:tr>
      <w:tr>
        <w:tc>
          <w:tcPr>
            <w:tcW w:type="dxa" w:w="1872"/>
          </w:tcPr>
          <w:p>
            <w:r>
              <w:rPr>
                <w:rFonts w:ascii="Bookman Old Style" w:hAnsi="Bookman Old Style"/>
                <w:sz w:val="20"/>
              </w:rPr>
              <w:t>Includes part of a system</w:t>
            </w:r>
          </w:p>
        </w:tc>
        <w:tc>
          <w:tcPr>
            <w:tcW w:type="dxa" w:w="1872"/>
          </w:tcPr>
          <w:p>
            <w:r>
              <w:rPr>
                <w:rFonts w:ascii="Bookman Old Style" w:hAnsi="Bookman Old Style"/>
                <w:sz w:val="20"/>
              </w:rPr>
              <w:t>No</w:t>
            </w:r>
          </w:p>
        </w:tc>
        <w:tc>
          <w:tcPr>
            <w:tcW w:type="dxa" w:w="1872"/>
          </w:tcPr>
          <w:p>
            <w:r>
              <w:rPr>
                <w:rFonts w:ascii="Bookman Old Style" w:hAnsi="Bookman Old Style"/>
                <w:sz w:val="20"/>
              </w:rPr>
              <w:t>No</w:t>
            </w:r>
          </w:p>
        </w:tc>
        <w:tc>
          <w:tcPr>
            <w:tcW w:type="dxa" w:w="1872"/>
          </w:tcPr>
          <w:p>
            <w:r>
              <w:rPr>
                <w:rFonts w:ascii="Bookman Old Style" w:hAnsi="Bookman Old Style"/>
                <w:sz w:val="20"/>
              </w:rPr>
              <w:t>No</w:t>
            </w:r>
          </w:p>
        </w:tc>
        <w:tc>
          <w:tcPr>
            <w:tcW w:type="dxa" w:w="1872"/>
          </w:tcPr>
          <w:p>
            <w:r>
              <w:rPr>
                <w:rFonts w:ascii="Bookman Old Style" w:hAnsi="Bookman Old Style"/>
                <w:sz w:val="20"/>
              </w:rPr>
              <w:t>Yes</w:t>
            </w:r>
          </w:p>
        </w:tc>
      </w:tr>
      <w:tr>
        <w:tc>
          <w:tcPr>
            <w:tcW w:type="dxa" w:w="1872"/>
          </w:tcPr>
          <w:p>
            <w:r>
              <w:rPr>
                <w:rFonts w:ascii="Bookman Old Style" w:hAnsi="Bookman Old Style"/>
                <w:sz w:val="20"/>
              </w:rPr>
              <w:t>Functional criterion</w:t>
            </w:r>
          </w:p>
        </w:tc>
        <w:tc>
          <w:tcPr>
            <w:tcW w:type="dxa" w:w="1872"/>
          </w:tcPr>
          <w:p>
            <w:r>
              <w:rPr>
                <w:rFonts w:ascii="Bookman Old Style" w:hAnsi="Bookman Old Style"/>
                <w:sz w:val="20"/>
              </w:rPr>
              <w:t>Logical, arithmetic, storage</w:t>
            </w:r>
          </w:p>
        </w:tc>
        <w:tc>
          <w:tcPr>
            <w:tcW w:type="dxa" w:w="1872"/>
          </w:tcPr>
          <w:p>
            <w:r>
              <w:rPr>
                <w:rFonts w:ascii="Bookman Old Style" w:hAnsi="Bookman Old Style"/>
                <w:sz w:val="20"/>
              </w:rPr>
              <w:t>Designed to function as</w:t>
            </w:r>
          </w:p>
        </w:tc>
        <w:tc>
          <w:tcPr>
            <w:tcW w:type="dxa" w:w="1872"/>
          </w:tcPr>
          <w:p>
            <w:r>
              <w:rPr>
                <w:rFonts w:ascii="Bookman Old Style" w:hAnsi="Bookman Old Style"/>
                <w:sz w:val="20"/>
              </w:rPr>
              <w:t>Data processing and storage</w:t>
            </w:r>
          </w:p>
        </w:tc>
        <w:tc>
          <w:tcPr>
            <w:tcW w:type="dxa" w:w="1872"/>
          </w:tcPr>
          <w:p>
            <w:r>
              <w:rPr>
                <w:rFonts w:ascii="Bookman Old Style" w:hAnsi="Bookman Old Style"/>
                <w:sz w:val="20"/>
              </w:rPr>
              <w:t>Logical, arithmetic, storage, communication, control</w:t>
            </w:r>
          </w:p>
        </w:tc>
      </w:tr>
    </w:tbl>
    <w:p>
      <w:pPr/>
      <w:r>
        <w:rPr>
          <w:rFonts w:ascii="Bookman Old Style" w:hAnsi="Bookman Old Style"/>
          <w:i/>
          <w:sz w:val="24"/>
        </w:rPr>
        <w:t>Table 1: Comparison of Foundational Definitions Across Four East African Jurisdictions</w:t>
      </w:r>
      <w:r>
        <w:rPr>
          <w:rStyle w:val="FootnoteReference"/>
          <w:vertAlign w:val="superscript"/>
        </w:rPr>
        <w:footnoteReference w:id="13"/>
      </w:r>
    </w:p>
    <w:p>
      <w:r>
        <w:rPr>
          <w:rFonts w:ascii="Bookman Old Style" w:hAnsi="Bookman Old Style"/>
          <w:b w:val="0"/>
          <w:i w:val="0"/>
          <w:sz w:val="24"/>
        </w:rPr>
        <w:t>The fragmentation exposed in Table 1 is not a trivial taxonomical dispute. It has direct practical consequences. A technology product classified as a computer in Uganda but not in Tanzania may be subject to different offences, penalties, and enforcement mechanisms. A virtual device recognised in Kenya may fall outside the statutory framework entirely in Uganda, Tanzania, and Rwanda. A mobile phone that is explicitly included in the definition of computer in Rwanda is not mentioned in the Ugandan definition at all. These inconsistencies create regulatory uncertainty for manufacturers, importers, and users, and they create enforcement gaps that can be exploited by bad actors.</w:t>
      </w:r>
    </w:p>
    <w:p>
      <w:pPr>
        <w:pStyle w:val="Heading1"/>
      </w:pPr>
      <w:r>
        <w:rPr>
          <w:rFonts w:ascii="Bookman Old Style" w:hAnsi="Bookman Old Style"/>
          <w:color w:val="000000"/>
        </w:rPr>
        <w:t>5. The EU Cyber Resilience Act: A Horizontal Regulatory Solution?</w:t>
      </w:r>
    </w:p>
    <w:p>
      <w:r>
        <w:rPr>
          <w:rFonts w:ascii="Bookman Old Style" w:hAnsi="Bookman Old Style"/>
          <w:sz w:val="24"/>
        </w:rPr>
        <w:t>The European Union’s Cyber Resilience Act (Regulation (EU) 2024/2847) represents the most ambitious attempt to date to solve the horizontal regulatory abstraction layer problem at the legislative level.</w:t>
      </w:r>
      <w:r>
        <w:rPr>
          <w:rStyle w:val="FootnoteReference"/>
          <w:vertAlign w:val="superscript"/>
        </w:rPr>
        <w:footnoteReference w:id="14"/>
      </w:r>
    </w:p>
    <w:p>
      <w:r>
        <w:rPr>
          <w:rFonts w:ascii="Bookman Old Style" w:hAnsi="Bookman Old Style"/>
          <w:b w:val="0"/>
          <w:i w:val="0"/>
          <w:sz w:val="24"/>
        </w:rPr>
        <w:t>The CRA establishes horizontal cybersecurity requirements for all products with digital elements placed on the EU market, regardless of the sector in which they are used. It applies to hardware and software alike, and it imposes obligations on manufacturers, importers, and distributors throughout the product lifecycle.</w:t>
      </w:r>
    </w:p>
    <w:p>
      <w:pPr>
        <w:pStyle w:val="Heading2"/>
      </w:pPr>
      <w:r>
        <w:rPr>
          <w:rFonts w:ascii="Bookman Old Style" w:hAnsi="Bookman Old Style"/>
          <w:color w:val="000000"/>
        </w:rPr>
        <w:t>5.1 Background and Legislative History</w:t>
      </w:r>
    </w:p>
    <w:p>
      <w:r>
        <w:rPr>
          <w:rFonts w:ascii="Bookman Old Style" w:hAnsi="Bookman Old Style"/>
          <w:sz w:val="24"/>
        </w:rPr>
        <w:t>The CRA was proposed by the European Commission on 15 September 2022, following a series of high-profile cybersecurity incidents that exposed the vulnerability of the horizontal regulatory stack. The SolarWinds attack of 2020, in which malicious code was inserted into the Orion platform’s build system and distributed to approximately 18,000 customers through a trusted software update, demonstrated that a single compromise at the software supply chain layer could propagate upward to affect government agencies and Fortune 500 companies worldwide. The Kaseya ransomware attack of July 2021, the WannaCry global ransomware attack of May 2017, and a marked increase in vulnerabilities in Internet of Things (IoT) devices collectively demonstrated that sector-specific regulation was inadequate to address cross-cutting cybersecurity risks.</w:t>
      </w:r>
      <w:r>
        <w:rPr>
          <w:rStyle w:val="FootnoteReference"/>
          <w:vertAlign w:val="superscript"/>
        </w:rPr>
        <w:footnoteReference w:id="15"/>
      </w:r>
    </w:p>
    <w:p>
      <w:pPr>
        <w:pStyle w:val="Heading2"/>
      </w:pPr>
      <w:r>
        <w:rPr>
          <w:rFonts w:ascii="Bookman Old Style" w:hAnsi="Bookman Old Style"/>
          <w:color w:val="000000"/>
        </w:rPr>
        <w:t>5.2 Key Provisions and Relevance to East Africa</w:t>
      </w:r>
    </w:p>
    <w:p>
      <w:r>
        <w:rPr>
          <w:rFonts w:ascii="Bookman Old Style" w:hAnsi="Bookman Old Style"/>
          <w:sz w:val="24"/>
        </w:rPr>
        <w:t>Several features of the CRA are directly relevant to the abstraction layer analysis. First, the CRA establishes a horizontal regulatory framework that cuts across existing sectoral legislation. A product with digital elements is subject to the CRA regardless of whether it is also regulated as a medical device, a financial instrument, or a telecommunications product. This horizontal approach directly addresses the fragmentation problem identified in sections 3 and 4 above.</w:t>
      </w:r>
      <w:r>
        <w:rPr>
          <w:rStyle w:val="FootnoteReference"/>
          <w:vertAlign w:val="superscript"/>
        </w:rPr>
        <w:footnoteReference w:id="16"/>
      </w:r>
    </w:p>
    <w:p>
      <w:r>
        <w:rPr>
          <w:rFonts w:ascii="Bookman Old Style" w:hAnsi="Bookman Old Style"/>
          <w:sz w:val="24"/>
        </w:rPr>
        <w:t>Second, the CRA introduces mandatory vulnerability handling requirements throughout the product lifecycle, including the obligation to provide security updates for at least five years after placing the product on the market. This is a direct response to the obsolescence problem discussed in section 8 below: products must remain secure for a defined period, and manufacturers cannot externalise the cost of obsolescence onto consumers or the environment.</w:t>
      </w:r>
      <w:r>
        <w:rPr>
          <w:rStyle w:val="FootnoteReference"/>
          <w:vertAlign w:val="superscript"/>
        </w:rPr>
        <w:footnoteReference w:id="17"/>
      </w:r>
    </w:p>
    <w:p>
      <w:r>
        <w:rPr>
          <w:rFonts w:ascii="Bookman Old Style" w:hAnsi="Bookman Old Style"/>
          <w:sz w:val="24"/>
        </w:rPr>
        <w:t>Third, the CRA creates obligations for all actors in the supply chain, including importers and distributors, not only manufacturers. This supply-chain-wide approach is a direct response to the SolarWinds and Kaseya attacks, which exploited the absence of horizontal obligations at the supply chain layer. This layered liability model is the closest existing analogy to a regulatory abstraction layer: each actor in the supply chain is responsible for the security of its own layer, and the regulatory framework ensures that all layers are covered.</w:t>
      </w:r>
      <w:r>
        <w:rPr>
          <w:rStyle w:val="FootnoteReference"/>
          <w:vertAlign w:val="superscript"/>
        </w:rPr>
        <w:footnoteReference w:id="18"/>
      </w:r>
    </w:p>
    <w:p>
      <w:r>
        <w:rPr>
          <w:rFonts w:ascii="Bookman Old Style" w:hAnsi="Bookman Old Style"/>
          <w:b w:val="0"/>
          <w:i w:val="0"/>
          <w:sz w:val="24"/>
        </w:rPr>
        <w:t>For East Africa, the CRA offers both a regulatory template and a market challenge. As a template, the CRA demonstrates that horizontal regulation across the technology stack is legislatively achievable, even in a complex multi-jurisdictional environment. As a market challenge, the CRA creates a compliance asymmetry: products manufactured in East Africa for export to the EU must meet CRA requirements, but products imported into East Africa from jurisdictions without equivalent regulation may not. This asymmetry reinforces the obsolescence trap discussed in section 8.</w:t>
      </w:r>
    </w:p>
    <w:p>
      <w:pPr>
        <w:pStyle w:val="Heading1"/>
      </w:pPr>
      <w:r>
        <w:rPr>
          <w:rFonts w:ascii="Bookman Old Style" w:hAnsi="Bookman Old Style"/>
          <w:color w:val="000000"/>
        </w:rPr>
        <w:t>6. Case Law and the Abstraction Layer Gap</w:t>
      </w:r>
    </w:p>
    <w:p>
      <w:r>
        <w:rPr>
          <w:rFonts w:ascii="Bookman Old Style" w:hAnsi="Bookman Old Style"/>
          <w:sz w:val="24"/>
        </w:rPr>
        <w:t>A search of East African case law reveals no decided case that directly addresses the abstraction layer problem as framed in this paper. This is itself a significant finding: it confirms that the structural blind spot created by regulatory fragmentation has not been tested in court, and therefore that the legal consequences of a cross-layer regulatory failure remain entirely unexplored in the region.</w:t>
      </w:r>
      <w:r>
        <w:rPr>
          <w:rStyle w:val="FootnoteReference"/>
          <w:vertAlign w:val="superscript"/>
        </w:rPr>
        <w:footnoteReference w:id="19"/>
      </w:r>
    </w:p>
    <w:p>
      <w:r>
        <w:rPr>
          <w:rFonts w:ascii="Bookman Old Style" w:hAnsi="Bookman Old Style"/>
          <w:b w:val="0"/>
          <w:i w:val="0"/>
          <w:sz w:val="24"/>
        </w:rPr>
        <w:t>This absence of precedent is consistent with the thesis of this paper: if the regulatory abstraction layer is structured to produce a blind spot, then failures that span multiple layers will be invisible to any single adjudicative forum. A consumer injured by a defective smart device may have a claim against the manufacturer in contract or tort, but no claim against the regulatory architecture that failed to coordinate oversight across the twelve agencies described in section 3.</w:t>
      </w:r>
    </w:p>
    <w:p>
      <w:r>
        <w:rPr>
          <w:rFonts w:ascii="Bookman Old Style" w:hAnsi="Bookman Old Style"/>
          <w:sz w:val="24"/>
        </w:rPr>
        <w:t>Jurisprudence from other jurisdictions, while not directly binding, is instructive. In the United States, the case of Holbrook v Prodomax Automation Ltd considered whether software constitutes a product for purposes of product liability law, holding that software can be a product where it is mass-produced and distributed. In Europe, the revised Product Liability Directive (EU) 2024/2853, adopted in October 2024, explicitly includes software as a product for the purposes of liability.</w:t>
      </w:r>
      <w:r>
        <w:rPr>
          <w:rStyle w:val="FootnoteReference"/>
          <w:vertAlign w:val="superscript"/>
        </w:rPr>
        <w:footnoteReference w:id="20"/>
      </w:r>
    </w:p>
    <w:p>
      <w:r>
        <w:rPr>
          <w:rFonts w:ascii="Bookman Old Style" w:hAnsi="Bookman Old Style"/>
          <w:b w:val="0"/>
          <w:i w:val="0"/>
          <w:sz w:val="24"/>
        </w:rPr>
        <w:t>These developments are relevant to the abstraction layer analysis because they establish that liability can be layered across the supply chain. The EU Product Liability Directive now provides that a manufacturer, importer, or distributor may be liable for defective software at any level of the technical stack. This layered liability model is the closest existing analogy to a regulatory abstraction layer, but it remains reactive (liability after failure) rather than proactive (oversight before failure).</w:t>
      </w:r>
    </w:p>
    <w:p>
      <w:pPr>
        <w:pStyle w:val="Heading1"/>
      </w:pPr>
      <w:r>
        <w:rPr>
          <w:rFonts w:ascii="Bookman Old Style" w:hAnsi="Bookman Old Style"/>
          <w:color w:val="000000"/>
        </w:rPr>
        <w:t>7. The Startup Impact: Quantifying the Regulatory Friction</w:t>
      </w:r>
    </w:p>
    <w:p>
      <w:r>
        <w:rPr>
          <w:rFonts w:ascii="Bookman Old Style" w:hAnsi="Bookman Old Style"/>
          <w:b w:val="0"/>
          <w:i w:val="0"/>
          <w:sz w:val="24"/>
        </w:rPr>
        <w:t>The cost of the horizontal regulatory abstraction layer is borne most heavily by startups and small-to-medium enterprises (SMEs). Unlike large multinational corporations, which can maintain dedicated compliance departments, a fintech startup may have a single legal officer or external counsel responsible for navigating all twelve regulatory bodies described in section 3.1.</w:t>
      </w:r>
    </w:p>
    <w:p>
      <w:r>
        <w:rPr>
          <w:rFonts w:ascii="Bookman Old Style" w:hAnsi="Bookman Old Style"/>
          <w:sz w:val="24"/>
        </w:rPr>
        <w:t>The direct costs of this regulatory friction are measurable. A survey by the World Bank’s Doing Business project, now replaced by the Business Ready (B-READY) methodology, found that Ugandan firms spend an average of 42 days per year on tax compliance alone, compared to an average of 24 days in Sub-Saharan Africa. For a regulated fintech startup, the compliance burden is multiplied across multiple agencies: registration and licensing (URSB, UCC, BOU), ongoing reporting (FIA, URA, NSSF), and periodic renewals and inspections (KCCA, UNBS). The Uganda Investment Authority estimates that regulatory compliance costs account for between 8 and 15 per cent of operating expenses for early-stage technology firms.</w:t>
      </w:r>
      <w:r>
        <w:rPr>
          <w:rStyle w:val="FootnoteReference"/>
          <w:vertAlign w:val="superscript"/>
        </w:rPr>
        <w:footnoteReference w:id="21"/>
      </w:r>
    </w:p>
    <w:p>
      <w:pPr>
        <w:pStyle w:val="Heading2"/>
      </w:pPr>
      <w:r>
        <w:rPr>
          <w:rFonts w:ascii="Bookman Old Style" w:hAnsi="Bookman Old Style"/>
          <w:color w:val="000000"/>
        </w:rPr>
        <w:t>7.1 Consumer Harm: The Pass-Through Effect</w:t>
      </w:r>
    </w:p>
    <w:p>
      <w:r>
        <w:rPr>
          <w:rFonts w:ascii="Bookman Old Style" w:hAnsi="Bookman Old Style"/>
          <w:sz w:val="24"/>
        </w:rPr>
        <w:t>The cost of regulatory compliance does not remain with the startup. It is passed through to consumers in the form of higher prices, reduced choice, and delayed service availability. A fintech startup that requires twelve separate regulatory approvals before launching a mobile money service will either delay its market entry (reducing consumer access to financial services) or increase its fees (reducing affordability). The World Bank’s Global Findex Database 2021 reports that 52 per cent of Ugandan adults do not have access to formal financial services. Every regulatory barrier that delays or increases the cost of fintech market entry is a barrier to financial inclusion. The horizontal regulatory abstraction layer thus has a directly measurable impact on the welfare of the poorest and most excluded members of society.</w:t>
      </w:r>
      <w:r>
        <w:rPr>
          <w:rStyle w:val="FootnoteReference"/>
          <w:vertAlign w:val="superscript"/>
        </w:rPr>
        <w:footnoteReference w:id="22"/>
      </w:r>
    </w:p>
    <w:p>
      <w:pPr>
        <w:pStyle w:val="Heading1"/>
      </w:pPr>
      <w:r>
        <w:rPr>
          <w:rFonts w:ascii="Bookman Old Style" w:hAnsi="Bookman Old Style"/>
          <w:color w:val="000000"/>
        </w:rPr>
        <w:t>8. The Obsolescence Trap</w:t>
      </w:r>
    </w:p>
    <w:p>
      <w:r>
        <w:rPr>
          <w:rFonts w:ascii="Bookman Old Style" w:hAnsi="Bookman Old Style"/>
          <w:b w:val="0"/>
          <w:i w:val="0"/>
          <w:sz w:val="24"/>
        </w:rPr>
        <w:t>The horizontal regulatory abstraction layer creates a structural incentive for the dumping of obsolete technology in East African markets. A technology product that can no longer be sold in the European Union because it does not meet CRA requirements, or in the United States because it does not meet Federal Communications Commission (FCC) or National Institute of Standards and Technology (NIST) standards, may still be legally marketable in East Africa because no single regulator has the mandate or the capacity to assess its compliance with a comprehensive safety framework.</w:t>
      </w:r>
    </w:p>
    <w:p>
      <w:r>
        <w:rPr>
          <w:rFonts w:ascii="Bookman Old Style" w:hAnsi="Bookman Old Style"/>
          <w:sz w:val="24"/>
        </w:rPr>
        <w:t>The scale of this phenomenon is significant. Industry analysts estimate that between 50 and 70 per cent of mobile phones and computing devices entering secondary markets in Africa are refurbished or second-hand, and that a substantial proportion of these do not meet current safety or security standards in their markets of origin.</w:t>
      </w:r>
      <w:r>
        <w:rPr>
          <w:rStyle w:val="FootnoteReference"/>
          <w:vertAlign w:val="superscript"/>
        </w:rPr>
        <w:footnoteReference w:id="23"/>
      </w:r>
    </w:p>
    <w:p>
      <w:r>
        <w:rPr>
          <w:rFonts w:ascii="Bookman Old Style" w:hAnsi="Bookman Old Style"/>
          <w:b w:val="0"/>
          <w:i w:val="0"/>
          <w:sz w:val="24"/>
        </w:rPr>
        <w:t>The obsolescence trap is not merely a consumer protection issue. It is an environmental issue (obsolete devices contribute to the growing e-waste stream in East Africa), a cybersecurity issue (devices that no longer receive security updates become vectors for botnets and malware), and a digital sovereignty issue (East African markets become dependent on technology designed for and discarded by other jurisdictions). The absence of a horizontal regulatory abstraction layer means that no single agency is responsible for assessing the cumulative impact of obsolete technology across all of these dimensions.</w:t>
      </w:r>
    </w:p>
    <w:p>
      <w:pPr>
        <w:pStyle w:val="Heading1"/>
      </w:pPr>
      <w:r>
        <w:rPr>
          <w:rFonts w:ascii="Bookman Old Style" w:hAnsi="Bookman Old Style"/>
          <w:color w:val="000000"/>
        </w:rPr>
        <w:t>9. A Reform Agenda</w:t>
      </w:r>
    </w:p>
    <w:p>
      <w:r>
        <w:rPr>
          <w:rFonts w:ascii="Bookman Old Style" w:hAnsi="Bookman Old Style"/>
          <w:b w:val="0"/>
          <w:i w:val="0"/>
          <w:sz w:val="24"/>
        </w:rPr>
        <w:t>The preceding analysis suggests four concrete reforms, each of which addresses a distinct dimension of the horizontal abstraction layer problem.</w:t>
      </w:r>
    </w:p>
    <w:p>
      <w:pPr>
        <w:pStyle w:val="Heading2"/>
      </w:pPr>
      <w:r>
        <w:rPr>
          <w:rFonts w:ascii="Bookman Old Style" w:hAnsi="Bookman Old Style"/>
          <w:color w:val="000000"/>
        </w:rPr>
        <w:t>9.1 Harmonised Foundational Definitions</w:t>
      </w:r>
    </w:p>
    <w:p>
      <w:r>
        <w:rPr>
          <w:rFonts w:ascii="Bookman Old Style" w:hAnsi="Bookman Old Style"/>
          <w:b w:val="0"/>
          <w:i w:val="0"/>
          <w:sz w:val="24"/>
        </w:rPr>
        <w:t>The first reform is the harmonisation of foundational statutory definitions across the East African Community (EAC) Partner States. The fragmentation documented in section 4 creates regulatory uncertainty, enforcement gaps, and compliance costs. A harmonised definitional framework, adopted through the EAC Legislative Assembly or through bilateral mutual recognition agreements, would establish a common conceptual foundation. The Kenyan definition in the Computer Misuse and Cybercrimes Act 2018 provides the most comprehensive template, as it explicitly includes virtual devices, multiple technology types, mobile devices, and the critical clarifying phrase that reference to a computer system includes a reference to part of a computer system.</w:t>
      </w:r>
    </w:p>
    <w:p>
      <w:pPr>
        <w:pStyle w:val="Heading2"/>
      </w:pPr>
      <w:r>
        <w:rPr>
          <w:rFonts w:ascii="Bookman Old Style" w:hAnsi="Bookman Old Style"/>
          <w:color w:val="000000"/>
        </w:rPr>
        <w:t>9.2 A Regional Regulatory Abstraction Layer Body</w:t>
      </w:r>
    </w:p>
    <w:p>
      <w:r>
        <w:rPr>
          <w:rFonts w:ascii="Bookman Old Style" w:hAnsi="Bookman Old Style"/>
          <w:sz w:val="24"/>
        </w:rPr>
        <w:t>The second reform is the establishment of a regional body with a horizontal mandate across the technology regulatory stack. This body would be modeled on Singapore’s IMDA, which consolidated telecommunications, media, and technology regulation under a single agency in 2016, and which has been associated with a 25 per cent real growth in digital economic output between 2019 and 2023. A regional body would not replace existing sectoral regulators but would provide the horizontal coordination function that currently does not exist: assessing cross-cutting risks, harmonising standards, and providing a single point of regulatory entry for technology products entering the regional market.</w:t>
      </w:r>
      <w:r>
        <w:rPr>
          <w:rStyle w:val="FootnoteReference"/>
          <w:vertAlign w:val="superscript"/>
        </w:rPr>
        <w:footnoteReference w:id="24"/>
      </w:r>
    </w:p>
    <w:p>
      <w:pPr>
        <w:pStyle w:val="Heading2"/>
      </w:pPr>
      <w:r>
        <w:rPr>
          <w:rFonts w:ascii="Bookman Old Style" w:hAnsi="Bookman Old Style"/>
          <w:color w:val="000000"/>
        </w:rPr>
        <w:t>9.3 Software Bill of Materials (SBOM) Mandates</w:t>
      </w:r>
    </w:p>
    <w:p>
      <w:r>
        <w:rPr>
          <w:rFonts w:ascii="Bookman Old Style" w:hAnsi="Bookman Old Style"/>
          <w:sz w:val="24"/>
        </w:rPr>
        <w:t>The third reform is the adoption of mandatory Software Bill of Materials (SBOM) requirements for technology products sold in the region. The SBOM, defined by the United States National Telecommunications and Information Administration (NTIA) as a formal record containing the details and supply chain relationships of the components used in building software, provides a horizontal transparency mechanism that cuts across institutional silos. If every technology product entering the East African market were required to include an SBOM, every regulator in the abstraction layer would have access to the same foundational information about the product’s componentry. The SBOM would serve as a shared informational layer, partially compensating for the absence of a shared institutional layer.</w:t>
      </w:r>
      <w:r>
        <w:rPr>
          <w:rStyle w:val="FootnoteReference"/>
          <w:vertAlign w:val="superscript"/>
        </w:rPr>
        <w:footnoteReference w:id="25"/>
      </w:r>
    </w:p>
    <w:p>
      <w:pPr>
        <w:pStyle w:val="Heading2"/>
      </w:pPr>
      <w:r>
        <w:rPr>
          <w:rFonts w:ascii="Bookman Old Style" w:hAnsi="Bookman Old Style"/>
          <w:color w:val="000000"/>
        </w:rPr>
        <w:t>9.4 The Ostrom-Hess Design Principles Applied</w:t>
      </w:r>
    </w:p>
    <w:p>
      <w:r>
        <w:rPr>
          <w:rFonts w:ascii="Bookman Old Style" w:hAnsi="Bookman Old Style"/>
          <w:sz w:val="24"/>
        </w:rPr>
        <w:t>The fourth reform is the application of Elinor Ostrom and Charlotte Hess’s design principles for managing shared knowledge resources to the regulatory abstraction layer problem.</w:t>
      </w:r>
      <w:r>
        <w:rPr>
          <w:rStyle w:val="FootnoteReference"/>
          <w:vertAlign w:val="superscript"/>
        </w:rPr>
        <w:footnoteReference w:id="26"/>
      </w:r>
    </w:p>
    <w:p>
      <w:r>
        <w:rPr>
          <w:rFonts w:ascii="Bookman Old Style" w:hAnsi="Bookman Old Style"/>
          <w:b w:val="0"/>
          <w:i w:val="0"/>
          <w:sz w:val="24"/>
        </w:rPr>
        <w:t>Ostrom and Hess argue that shared knowledge resources, like shared natural resources, require institutional arrangements that are polycentric, participatory, and adaptive. The regulatory abstraction layer in East Africa can be understood as a knowledge commons: a shared resource (regulatory information and oversight capacity) that is currently fragmented across multiple institutional actors. Applying Ostrom and Hess’s principles would suggest reforms including: (a) clear boundaries on which regulators have authority over which layers of the technology stack; (b) inclusive decision-making that brings regulators, industry, and civil society together; and (c) nested institutional arrangements, in which regional, national, and sectoral bodies are linked through formal coordination mechanisms.</w:t>
      </w:r>
    </w:p>
    <w:p>
      <w:pPr>
        <w:pStyle w:val="Heading1"/>
      </w:pPr>
      <w:r>
        <w:rPr>
          <w:rFonts w:ascii="Bookman Old Style" w:hAnsi="Bookman Old Style"/>
          <w:color w:val="000000"/>
        </w:rPr>
        <w:t>10. Conclusion</w:t>
      </w:r>
    </w:p>
    <w:p>
      <w:r>
        <w:rPr>
          <w:rFonts w:ascii="Bookman Old Style" w:hAnsi="Bookman Old Style"/>
          <w:b w:val="0"/>
          <w:i w:val="0"/>
          <w:sz w:val="24"/>
        </w:rPr>
        <w:t>This paper has argued that the abstraction layer problem, well-recognised in computer science as the structural blind spot created by layered technical architectures, also exists horizontally in the regulation of technology across East Africa. The vertical abstraction layer enables digital scalability by allowing each layer of the technical stack to function independently; the horizontal regulatory abstraction layer produces fragmentation by allowing each institution and statutory regime to function independently. The result in both cases is a structural blind spot: no single actor sees the full stack, and failures at one layer propagate invisibly to others.</w:t>
      </w:r>
    </w:p>
    <w:p>
      <w:r>
        <w:rPr>
          <w:rFonts w:ascii="Bookman Old Style" w:hAnsi="Bookman Old Style"/>
          <w:b w:val="0"/>
          <w:i w:val="0"/>
          <w:sz w:val="24"/>
        </w:rPr>
        <w:t>The evidence for this claim is threefold. First, the foundational statutory definitions across four East African jurisdictions are fragmented to a degree that cannot be attributed to mere drafting variation: they reflect fundamentally different conceptualisations of the subject matter of technology regulation. Second, the institutional landscape in a country like Uganda, where a single fintech startup may answer to twelve separate regulatory bodies, creates a compliance burden that falls disproportionately on the innovators and entrepreneurs who drive digital economic growth. Third, the absence of any horizontal regulatory coordination mechanism means that cross-cutting problems – including obsolete technology dumping, supply chain cybersecurity vulnerabilities, and e-waste – remain unaddressed by any single institution.</w:t>
      </w:r>
    </w:p>
    <w:p>
      <w:r>
        <w:rPr>
          <w:rFonts w:ascii="Bookman Old Style" w:hAnsi="Bookman Old Style"/>
          <w:b w:val="0"/>
          <w:i w:val="0"/>
          <w:sz w:val="24"/>
        </w:rPr>
        <w:t>The paper has proposed four reforms: harmonised foundational definitions modelled on the Kenyan Computer Misuse and Cybercrimes Act 2018; a regional regulatory abstraction layer body modelled on Singapore’s IMDA; mandatory Software Bill of Materials requirements for all technology products entering the regional market; and the application of Ostrom and Hess’s design principles for shared knowledge resource governance. These reforms are not exhaustive, but they are mutually reinforcing. A harmonised definitional framework enables the consistent application of standards; a regional body provides the institutional architecture for horizontal coordination; SBOM mandates provide the informational infrastructure; and polycentric governance principles ensure that the resulting system is adaptive, participatory, and resilient.</w:t>
      </w:r>
    </w:p>
    <w:p>
      <w:r>
        <w:rPr>
          <w:rFonts w:ascii="Bookman Old Style" w:hAnsi="Bookman Old Style"/>
          <w:b w:val="0"/>
          <w:i w:val="0"/>
          <w:sz w:val="24"/>
        </w:rPr>
        <w:t>The European Union’s Cyber Resilience Act demonstrates that horizontal regulation of the technology stack is legislatively achievable. For East Africa, the question is not whether a regulatory abstraction layer is needed, but whether the region will build one deliberately or continue to suffer the consequences of its absence.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type="normal" w:id="1">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Andrew S Tanenbaum, Structured Computer Organization (5th edn, Pearson Prentice Hall 2006) 29–35.</w:t>
      </w:r>
    </w:p>
  </w:footnote>
  <w:footnote w:type="normal" w:id="2">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Charles Antony Richard Hoare, ‘The Emperor’s Old Clothes’ (1981) 24(2) Communications of the ACM 75, 81.</w:t>
      </w:r>
    </w:p>
  </w:footnote>
  <w:footnote w:type="normal" w:id="3">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CrowdStrike, Falcon Content Update for Windows Hosts (Technical Report, 19 July 2024). The outage affected approximately 8.5 million devices globally. See also Charles Arthur, ‘The CrowdStrike Outage: A Failure of Abstraction’ (The Register, 22 July 2024).</w:t>
      </w:r>
    </w:p>
  </w:footnote>
  <w:footnote w:type="normal" w:id="4">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Financial Intelligence Authority Act 2013 (Uganda) s 4; Uganda Communications Commission was established under the Uganda Communications Act 2013 (Uganda) s 5; NITA-U was established under the National Information Technology Authority-Uganda Act 2009 (Uganda) s 3; Uganda National Bureau of Standards was established under the UNBS Act Cap 327 (Uganda) s 2; Sovereignty of the People and Protection of Citizens Act 2023 (Uganda) Part III. This list is not exhaustive and may vary based on the specific activities of the startup.</w:t>
      </w:r>
    </w:p>
  </w:footnote>
  <w:footnote w:type="normal" w:id="5">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Communications Authority of Kenya, ICT Sector Statistics Report FY 2023/24 (CAK, 2024) 12. The report notes that ICT GDP growth has outpaced overall GDP growth for six consecutive years.</w:t>
      </w:r>
    </w:p>
  </w:footnote>
  <w:footnote w:type="normal" w:id="6">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Infocomm Media Development Authority, Singapore Digital Economy Report 2024 (IMDA, 2024) 5. Singapore merged the Infocomm Development Authority (IDA) and the Media Development Authority (MDA) to form IMDA in 2016 through the Info-communications Media Development Authority Act 2016 (Singapore).</w:t>
      </w:r>
    </w:p>
  </w:footnote>
  <w:footnote w:type="normal" w:id="7">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IMDA (n 8) 12–14. See also Infocomm Media Development Authority, Digital Economy Blueprint (Singapore Government, 2020) 22, which set a target of 80,000 infocomm and technology jobs by 2025.</w:t>
      </w:r>
    </w:p>
  </w:footnote>
  <w:footnote w:type="normal" w:id="8">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World Bank, Digital Economy for Africa: A Regional Diagnostic (World Bank, 2022) 45. The initiative identifies harmonisation of digital regulations as a key enabler for cross-border digital commerce and innovation.</w:t>
      </w:r>
    </w:p>
  </w:footnote>
  <w:footnote w:type="normal" w:id="9">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Computer Misuse Act 2011 (Uganda) s 1 (definition of ‘computer’). This is the definition as published in the consolidated version of the Act, Chapter 96 of the Laws of Uganda, as accessed via ULII and Laws.Africa. The definition is broad and technologically neutral, encompassing magnetic, optical, and electrochemical technologies alongside electronic data processing.</w:t>
      </w:r>
    </w:p>
  </w:footnote>
  <w:footnote w:type="normal" w:id="10">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Cybercrimes Act 2015 (Tanzania) s 3 (definition of ‘computer system’). This is the definition as published in the official Government Gazette and consolidated by the Tanzania Legal Information Institute (TanzLII). Note that the original paper incorrectly included ‘mobile phones’ and “follow a set of instructions” in the definition, both of which do not appear in the Act.</w:t>
      </w:r>
    </w:p>
  </w:footnote>
  <w:footnote w:type="normal" w:id="11">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Law No 60/2018 of 22/8/2018 on the Prevention and Punishment of Cyber Crimes (Rwanda) Art 3(6°) (definition of ‘computer’) and Art 3(11°) (definition of ‘computer system’). This is the English translation of the official Kinyarwanda text as published in the Official Gazette and consolidated by RwandaLII. Note that the original paper incorrectly conflated the two definitions and invented the phrase ‘any computer data’, which does not appear in the Act.</w:t>
      </w:r>
    </w:p>
  </w:footnote>
  <w:footnote w:type="normal" w:id="12">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Computer Misuse and Cybercrimes Act 2018 (Kenya) s 2 (definition of ‘computer system’). This is the definition as published in the Kenya Gazette Supplement No 56 (Act No 5 of 2018) and consolidated by the National Council for Law Reporting (Kenya Law). Note that the original paper incorrectly omitted virtual devices, the phrase ‘physical or virtual’, and the important clarifying phrase ‘and reference to a computer system includes a reference to part of a computer system’.</w:t>
      </w:r>
    </w:p>
  </w:footnote>
  <w:footnote w:type="normal" w:id="13">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Source: compiled from Computer Misuse Act 2011 (Uganda) s 1; Cybercrimes Act 2015 (Tanzania) s 3; Law No 60/2018 (Rwanda) Art 3(6°) and (11°); Computer Misuse and Cybercrimes Act 2018 (Kenya) s 2.</w:t>
      </w:r>
    </w:p>
  </w:footnote>
  <w:footnote w:type="normal" w:id="14">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Regulation (EU) 2024/2847 of the European Parliament and of the Council of 23 October 2024 on horizontal cybersecurity requirements for products with digital elements (Cyber Resilience Act) [2024] OJ L 2847. The CRA entered into force on 10 December 2024, with phased compliance obligations beginning in 2026.</w:t>
      </w:r>
    </w:p>
  </w:footnote>
  <w:footnote w:type="normal" w:id="15">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European Commission, Proposal for a Regulation on Horizontal Cybersecurity Requirements for Products with Digital Elements COM(2022) 454 final (15 September 2022) 1. On the SolarWinds attack, see US Senate Committee on Homeland Security and Governmental Affairs, SolarWinds: A Bipartite Retrospective (Senate Report, 2022) 5–12. The Kaseya ransomware attack of July 2021 affected approximately 1,500 businesses through a single compromise of the Kaseya VSA remote management platform: see Mandiant, Kaseya VSA Supply Chain Ransomware Attack: Technical Analysis (Mandiant, 2021).</w:t>
      </w:r>
    </w:p>
  </w:footnote>
  <w:footnote w:type="normal" w:id="16">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CRA, Art 2(2). The CRA applies without prejudice to sector-specific regulations but fills gaps where no such regulations exist. Where sector-specific regulations provide equivalent cybersecurity requirements, the CRA does not duplicate them (Art 2(3)).</w:t>
      </w:r>
    </w:p>
  </w:footnote>
  <w:footnote w:type="normal" w:id="17">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CRA, Art 13 (obligations of manufacturers) and Annex I (vulnerability handling requirements). The five-year support period runs from the date the product is placed on the market.</w:t>
      </w:r>
    </w:p>
  </w:footnote>
  <w:footnote w:type="normal" w:id="18">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CRA, Arts 16–18 (obligations of importers) and Arts 19–21 (obligations of distributors). This supply-chain-wide approach is a direct response to the SolarWinds and Kaseya attacks, which exploited the absence of horizontal obligations at the supply chain layer.</w:t>
      </w:r>
    </w:p>
  </w:footnote>
  <w:footnote w:type="normal" w:id="19">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The author conducted a systematic search of the Uganda Legal Information Institute (ULII), Tanzania Legal Information Institute (TanzLII), Rwanda Legal Information Institute (RwandaLII), and Kenya Law databases using keywords including computer system, abstraction, supply chain, regulatory fragmentation, cybersecurity, and product liability as of July 2026. No case addressing the structural relationship between multiple regulatory regimes governing a single technology product was identified.</w:t>
      </w:r>
    </w:p>
  </w:footnote>
  <w:footnote w:type="normal" w:id="20">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Holbrook v Prodomax Automation Ltd, No 1:19-CV-377 (WD Mich, 29 June 2021). The court held that software is a product for purposes of Michigan products liability law where it is sold in a mass-market context. This reasoning was followed in In re: Social Media Adolescent Addiction/Personal Injury Products Liability Litigation, No 22-md-03047 (ND Cal, 2023), where the court applied a defect-specific approach to social media platforms. Directive (EU) 2024/2853 of the European Parliament and of the Council of 23 October 2024 on liability for defective products [2024] OJ L 2853, Art 4(1). The Directive replaces the Product Liability Directive 85/374/EEC and explicitly provides that software is a product for the purposes of the Directive, reversing the earlier position where software was considered a service.</w:t>
      </w:r>
    </w:p>
  </w:footnote>
  <w:footnote w:type="normal" w:id="21">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World Bank, Business Ready (B-READY) Report: Uganda 2025 (World Bank, 2025). Previous data from the Doing Business project indicated tax compliance time of 42 days per year for Ugandan firms: Doing Business 2020 (World Bank, 2020) 83. Uganda Investment Authority, Cost of Doing Business in Uganda 2024 (UIA, 2024) 22. The estimate covers all regulatory compliance costs including licensing, reporting, inspections, and legal fees.</w:t>
      </w:r>
    </w:p>
  </w:footnote>
  <w:footnote w:type="normal" w:id="22">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World Bank, The Global Findex Database 2021: Financial Inclusion, Digital Payments, and Resilience in the Age of COVID-19 (World Bank, 2022) 45. The report notes that mobile money accounts have increased financial inclusion in Sub-Saharan Africa but that regulatory barriers remain a significant constraint.</w:t>
      </w:r>
    </w:p>
  </w:footnote>
  <w:footnote w:type="normal" w:id="23">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Canalys, Global Smartphone Market: Secondary Market Dynamics 2024 (Canalys, 2024) 12; Counterpoint Research, Refurbished Smartphone Market Tracker Q4 2024 (Counterpoint, 2025) 8. These figures are industry estimates based on trade flows and supply chain data. A widely-cited ITU statistic of 60 to 80 per cent refurbished devices in developing countries could not be verified in ITU publications and appears to originate from industry analyst sources.</w:t>
      </w:r>
    </w:p>
  </w:footnote>
  <w:footnote w:type="normal" w:id="24">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IMDA (n 8). The IMDA was established by the Info-communications Media Development Authority Act 2016 (Singapore), merging the Infocomm Development Authority and the Media Development Authority.</w:t>
      </w:r>
    </w:p>
  </w:footnote>
  <w:footnote w:type="normal" w:id="25">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NTIA, Software Bill of Materials: An Introduction (US Department of Commerce, 2021) 3. The NTIA SBOM initiative was established pursuant to Executive Order 14028 on Improving the Nation’s Cybersecurity (12 May 2021). The EU CRA also mandates SBOM-like component disclosure: CRA, Annex I, Part B(2).</w:t>
      </w:r>
    </w:p>
  </w:footnote>
  <w:footnote w:type="normal" w:id="26">
    <w:p>
      <w:r>
        <w:rPr>
          <w:rStyle w:val="FootnoteReference"/>
        </w:rPr>
        <w:footnoteRef/>
      </w:r>
      <w:r>
        <w:rPr>
          <w:rStyle w:val="FootnoteText"/>
        </w:rPr>
        <w:t xml:space="preserve"> </w:t>
      </w:r>
      <w:r>
        <w:rPr>
          <w:rStyle w:val="FootnoteText"/>
          <w:rFonts w:ascii="Bookman Old Style" w:hAnsi="Bookman Old Style" w:cs="Bookman Old Style"/>
          <w:sz w:val="20"/>
          <w:szCs w:val="20"/>
        </w:rPr>
        <w:t xml:space="preserve">Elinor Ostrom and Charlotte Hess, ‘A Framework for Analyzing the Knowledge Commons’ in Charlotte Hess and Elinor Ostrom (eds), Understanding Knowledge as a Commons: From Theory to Practice (MIT Press 2007) 41–81. Ostrom’s Nobel Prize-winning work on governing the commons identified eight design principles for sustainable management of shared resources, including clearly defined boundaries, collective choice arrangements, and nested enterprises.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Bookman Old Style" w:hAnsi="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otnoteReference">
    <w:name w:val="Footnote Reference"/>
    <w:rPr>
      <w:rFonts w:ascii="Bookman Old Style" w:hAnsi="Bookman Old Style"/>
      <w:sz w:val="20"/>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