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THE ABSTRACTION LAYER PROBLEM</w:t>
        <w:br/>
      </w:r>
    </w:p>
    <w:p>
      <w:pPr>
        <w:jc w:val="center"/>
      </w:pPr>
      <w:r>
        <w:rPr>
          <w:i/>
          <w:sz w:val="24"/>
        </w:rPr>
        <w:t>Why the EU Cyber Resilience Act Exposes East Africa's Monolithic ICT Laws,</w:t>
        <w:br/>
        <w:t>How the Region Can Build a Layered Regulatory Framework for the Digital Age,</w:t>
        <w:br/>
        <w:t>and What This Means for Digital Sovereignty</w:t>
      </w:r>
    </w:p>
    <w:p/>
    <w:p>
      <w:pPr>
        <w:jc w:val="center"/>
      </w:pPr>
      <w:r>
        <w:rPr>
          <w:b/>
          <w:sz w:val="28"/>
        </w:rPr>
        <w:t>An Extended Research Paper</w:t>
      </w:r>
    </w:p>
    <w:p/>
    <w:p/>
    <w:p>
      <w:pPr>
        <w:jc w:val="center"/>
      </w:pPr>
      <w:r>
        <w:rPr>
          <w:sz w:val="22"/>
        </w:rPr>
        <w:t>July 2026</w:t>
      </w:r>
    </w:p>
    <w:p>
      <w:r>
        <w:br w:type="page"/>
      </w:r>
    </w:p>
    <w:p>
      <w:pPr>
        <w:pStyle w:val="Heading1"/>
      </w:pPr>
      <w:r>
        <w:t>Abstract</w:t>
      </w:r>
    </w:p>
    <w:p>
      <w:r>
        <w:t>The European Union's Cyber Resilience Act (CRA) represents a paradigm shift in how the law regulates digital products. Rather than treating a "computer" as a single, undifferentiated object, the CRA recognises that digital products are composites — layered assemblies of hardware, firmware, operating systems, libraries, applications, and cloud services, each built and maintained by different parties who bear distinct responsibilities. This paper argues that East Africa's existing ICT legal frameworks — in Uganda, Tanzania, Rwanda, and Kenya — operate on an entirely different ontological assumption: that a computer is a single, monolithic entity. Examining the statutory definitions across these four jurisdictions, the paper demonstrates that none of the region's primary ICT statutes allocates responsibility by technical layer. This creates a regulatory blind spot that leaves the region's digital economy exposed to extraterritorial disruption — most immediately from the CRA, which will accelerate the obsolescence of older devices by raising software security baselines upstream. Drawing on comparative analysis of Rwanda's preventive regulatory model and Kenya's technology-neutral approach, the paper proposes a four-priority reform agenda: (1) layered statutory definitions that distribute legal responsibility across the abstraction stack, (2) a regional early-warning mechanism within the East African Community to monitor global regulatory developments, (3) mandatory Software Bills of Materials for ICT products in government procurement and regulated markets, and (4) institutional consolidation or formal coordination among the region's fragmented ICT regulators. The paper concludes that digital sovereignty in East Africa depends less on building domestic hardware capacity and more on building regulatory architecture that sees the layers beneath the screen.</w:t>
      </w:r>
    </w:p>
    <w:p>
      <w:r>
        <w:br w:type="page"/>
      </w:r>
    </w:p>
    <w:p>
      <w:pPr>
        <w:pStyle w:val="Heading1"/>
      </w:pPr>
      <w:r>
        <w:t>Table of Contents</w:t>
      </w:r>
    </w:p>
    <w:p>
      <w:pPr>
        <w:spacing w:after="40"/>
      </w:pPr>
      <w:r>
        <w:t>1. Introduction: The Ghost in the Ride-Hailing App</w:t>
      </w:r>
    </w:p>
    <w:p>
      <w:pPr>
        <w:spacing w:after="40"/>
      </w:pPr>
      <w:r>
        <w:t>2. The Abstraction Layer Framework</w:t>
      </w:r>
    </w:p>
    <w:p>
      <w:pPr>
        <w:spacing w:after="40"/>
      </w:pPr>
      <w:r>
        <w:t xml:space="preserve">   2.1 What Abstraction Layers Are</w:t>
      </w:r>
    </w:p>
    <w:p>
      <w:pPr>
        <w:spacing w:after="40"/>
      </w:pPr>
      <w:r>
        <w:t xml:space="preserve">   2.2 Why Layers Matter for Legal Responsibility</w:t>
      </w:r>
    </w:p>
    <w:p>
      <w:pPr>
        <w:spacing w:after="40"/>
      </w:pPr>
      <w:r>
        <w:t>3. The EU Cyber Resilience Act: A Layered Law for a Layered World</w:t>
      </w:r>
    </w:p>
    <w:p>
      <w:pPr>
        <w:spacing w:after="40"/>
      </w:pPr>
      <w:r>
        <w:t xml:space="preserve">   3.1 Key Provisions</w:t>
      </w:r>
    </w:p>
    <w:p>
      <w:pPr>
        <w:spacing w:after="40"/>
      </w:pPr>
      <w:r>
        <w:t xml:space="preserve">   3.2 The Extraterritorial Transmission Mechanism</w:t>
      </w:r>
    </w:p>
    <w:p>
      <w:pPr>
        <w:spacing w:after="40"/>
      </w:pPr>
      <w:r>
        <w:t>4. Four Statutes, One Blind Spot: East African ICT Definitions</w:t>
      </w:r>
    </w:p>
    <w:p>
      <w:pPr>
        <w:spacing w:after="40"/>
      </w:pPr>
      <w:r>
        <w:t xml:space="preserve">   4.1 Uganda — Computer Misuse Act, 2011</w:t>
      </w:r>
    </w:p>
    <w:p>
      <w:pPr>
        <w:spacing w:after="40"/>
      </w:pPr>
      <w:r>
        <w:t xml:space="preserve">   4.2 Tanzania — Cybercrimes Act, 2015</w:t>
      </w:r>
    </w:p>
    <w:p>
      <w:pPr>
        <w:spacing w:after="40"/>
      </w:pPr>
      <w:r>
        <w:t xml:space="preserve">   4.3 Rwanda — Law No. 60/2018</w:t>
      </w:r>
    </w:p>
    <w:p>
      <w:pPr>
        <w:spacing w:after="40"/>
      </w:pPr>
      <w:r>
        <w:t xml:space="preserve">   4.4 Kenya — Computer Misuse and Cybercrimes Act, 2018</w:t>
      </w:r>
    </w:p>
    <w:p>
      <w:pPr>
        <w:spacing w:after="40"/>
      </w:pPr>
      <w:r>
        <w:t xml:space="preserve">   4.5 Comparative Analysis</w:t>
      </w:r>
    </w:p>
    <w:p>
      <w:pPr>
        <w:spacing w:after="40"/>
      </w:pPr>
      <w:r>
        <w:t>5. The Domestic Regulatory Gap</w:t>
      </w:r>
    </w:p>
    <w:p>
      <w:pPr>
        <w:spacing w:after="40"/>
      </w:pPr>
      <w:r>
        <w:t xml:space="preserve">   5.1 Uganda's Three Siloed Regulators</w:t>
      </w:r>
    </w:p>
    <w:p>
      <w:pPr>
        <w:spacing w:after="40"/>
      </w:pPr>
      <w:r>
        <w:t xml:space="preserve">   5.2 Rwanda's Coordinated Model</w:t>
      </w:r>
    </w:p>
    <w:p>
      <w:pPr>
        <w:spacing w:after="40"/>
      </w:pPr>
      <w:r>
        <w:t xml:space="preserve">   5.3 Kenya's Technology-Neutral Approach</w:t>
      </w:r>
    </w:p>
    <w:p>
      <w:pPr>
        <w:spacing w:after="40"/>
      </w:pPr>
      <w:r>
        <w:t>6. The Obsolescence Trap</w:t>
      </w:r>
    </w:p>
    <w:p>
      <w:pPr>
        <w:spacing w:after="40"/>
      </w:pPr>
      <w:r>
        <w:t xml:space="preserve">   6.1 The Refurbished Device Economy</w:t>
      </w:r>
    </w:p>
    <w:p>
      <w:pPr>
        <w:spacing w:after="40"/>
      </w:pPr>
      <w:r>
        <w:t xml:space="preserve">   6.2 How the CRA Accelerates Exclusion</w:t>
      </w:r>
    </w:p>
    <w:p>
      <w:pPr>
        <w:spacing w:after="40"/>
      </w:pPr>
      <w:r>
        <w:t xml:space="preserve">   6.3 Quantitative Impact Assessment</w:t>
      </w:r>
    </w:p>
    <w:p>
      <w:pPr>
        <w:spacing w:after="40"/>
      </w:pPr>
      <w:r>
        <w:t>7. A Reform Agenda for East Africa</w:t>
      </w:r>
    </w:p>
    <w:p>
      <w:pPr>
        <w:spacing w:after="40"/>
      </w:pPr>
      <w:r>
        <w:t xml:space="preserve">   7.1 Priority 1: Fix the Definitions</w:t>
      </w:r>
    </w:p>
    <w:p>
      <w:pPr>
        <w:spacing w:after="40"/>
      </w:pPr>
      <w:r>
        <w:t xml:space="preserve">   7.2 Priority 2: Establish a Regional Early-Warning Mechanism</w:t>
      </w:r>
    </w:p>
    <w:p>
      <w:pPr>
        <w:spacing w:after="40"/>
      </w:pPr>
      <w:r>
        <w:t xml:space="preserve">   7.3 Priority 3: Mandate Software Bills of Materials</w:t>
      </w:r>
    </w:p>
    <w:p>
      <w:pPr>
        <w:spacing w:after="40"/>
      </w:pPr>
      <w:r>
        <w:t xml:space="preserve">   7.4 Priority 4: Restructure Domestic Institutions</w:t>
      </w:r>
    </w:p>
    <w:p>
      <w:pPr>
        <w:spacing w:after="40"/>
      </w:pPr>
      <w:r>
        <w:t>8. Conclusion: Digital Sovereignty as Regulatory Architecture</w:t>
      </w:r>
    </w:p>
    <w:p>
      <w:pPr>
        <w:spacing w:after="40"/>
      </w:pPr>
      <w:r>
        <w:t>References</w:t>
      </w:r>
    </w:p>
    <w:p>
      <w:r>
        <w:br w:type="page"/>
      </w:r>
    </w:p>
    <w:p>
      <w:pPr>
        <w:pStyle w:val="Heading1"/>
      </w:pPr>
      <w:r>
        <w:t>1. Introduction: The Ghost in the Ride-Hailing App</w:t>
      </w:r>
    </w:p>
    <w:p>
      <w:r>
        <w:t>Kibirige rides a motorcycle taxi in Kampala. In 2024, he bought an affordable, entry-level Android smartphone — the kind that dominates Uganda's device market, where refurbished and budget handsets make up the vast majority of phones in use. His phone works. SafeBoda's ride-hailing application runs on it. He participates in the digital economy.</w:t>
      </w:r>
    </w:p>
    <w:p>
      <w:r>
        <w:t>But SafeBoda does not build software in a domestic vacuum. Its application depends on open-source libraries maintained by developers in Europe and North America, cloud software development kits (SDKs) controlled by multinational corporations, global authentication providers, and mobile app-store requirements set by Apple and Google. These upstream dependencies are governed by legal regimes far outside Uganda's jurisdiction.</w:t>
      </w:r>
    </w:p>
    <w:p>
      <w:r>
        <w:t>The European Union's Cyber Resilience Act (CRA), adopted in 2024, requires that "products with digital elements" maintain a specified level of security throughout their lifecycle. To comply, upstream software maintainers must raise their security baselines — dropping support for older cryptographic standards, deprecated application programming interfaces (APIs), and legacy operating system versions. The engineering cost of continuing to support the older, cheaper chips that power East Africa's device market rises exponentially. At some point, platform companies face a cold commercial calculation: invest in backward compatibility for a shrinking user base, or let those devices fall off the supported list.</w:t>
      </w:r>
    </w:p>
    <w:p>
      <w:r>
        <w:t>No EU regulator ever wrote a rule intended for Uganda. But when the app stops updating on Kibirige's phone, he will not be able to distinguish between "his device is too old" and "the regulatory environment changed in Brussels." He will simply be locked out.</w:t>
      </w:r>
    </w:p>
    <w:p>
      <w:r>
        <w:t>This is the abstraction layer problem. It is the central thesis of this paper: a legal framework that defines "computer" as a single, monolithic entity cannot regulate — or protect — a market that is actually built across multiple technical layers. When a failure originates at one layer (an open-source library, a cloud API, a security protocol) and cascades downward through the stack, a monolithic law has no vocabulary for identifying who caused the failure, who bears responsibility, or who should intervene.</w:t>
      </w:r>
    </w:p>
    <w:p>
      <w:r>
        <w:t>This paper proceeds in seven parts. Section 2 introduces the abstraction layer framework as a conceptual tool for legal analysis. Section 3 examines the EU Cyber Resilience Act and its extraterritorial effects. Section 4 conducts a comparative analysis of ICT statutory definitions across Uganda, Tanzania, Rwanda, and Kenya, demonstrating that none accounts for technological layering. Section 5 analyses the institutional fragmentation of ICT regulation in the region. Section 6 assesses the obsolescence trap created by the interaction between the CRA and East Africa's refurbished device economy. Section 7 proposes a four-priority reform agenda.</w:t>
      </w:r>
    </w:p>
    <w:p>
      <w:pPr>
        <w:pStyle w:val="Heading1"/>
      </w:pPr>
      <w:r>
        <w:t>2. The Abstraction Layer Framework</w:t>
      </w:r>
    </w:p>
    <w:p>
      <w:pPr>
        <w:pStyle w:val="Heading2"/>
      </w:pPr>
      <w:r>
        <w:t>2.1 What Abstraction Layers Are</w:t>
      </w:r>
    </w:p>
    <w:p>
      <w:r>
        <w:t>Computer systems are organised as a stack of abstraction layers, each hiding the complexity of the layer beneath it and providing services to the layer above (Tanenbaum &amp; Bos, 2023). The stack, from bottom to top, consists of:</w:t>
      </w:r>
    </w:p>
    <w:p>
      <w:pPr>
        <w:pStyle w:val="ListBullet"/>
      </w:pPr>
      <w:r>
        <w:t>Hardware: Physical electronic circuits, transistors, logic gates, and integrated circuits. This is the only layer that physically exists — everything above it is logical abstraction.</w:t>
      </w:r>
    </w:p>
    <w:p>
      <w:pPr>
        <w:pStyle w:val="ListBullet"/>
      </w:pPr>
      <w:r>
        <w:t>Firmware: Low-level software permanently stored in read-only memory that initialises and controls hardware components, including the Basic Input/Output System (BIOS) or Unified Extensible Firmware Interface (UEFI).</w:t>
      </w:r>
    </w:p>
    <w:p>
      <w:pPr>
        <w:pStyle w:val="ListBullet"/>
      </w:pPr>
      <w:r>
        <w:t>Operating System Kernel: The core of the operating system that manages hardware resources, schedules processes, allocates memory, and enforces security boundaries between user mode and kernel mode.</w:t>
      </w:r>
    </w:p>
    <w:p>
      <w:pPr>
        <w:pStyle w:val="ListBullet"/>
      </w:pPr>
      <w:r>
        <w:t>System Libraries: Shared software components (e.g., OpenSSL for encryption, glibc for C runtime functions) that provide standard functionality to applications. These are typically open-source and maintained by distributed communities.</w:t>
      </w:r>
    </w:p>
    <w:p>
      <w:pPr>
        <w:pStyle w:val="ListBullet"/>
      </w:pPr>
      <w:r>
        <w:t>Application Runtime: Interpreters or virtual machines (e.g., Java Virtual Machine, Python interpreter, Android Runtime) that execute application code.</w:t>
      </w:r>
    </w:p>
    <w:p>
      <w:pPr>
        <w:pStyle w:val="ListBullet"/>
      </w:pPr>
      <w:r>
        <w:t>Application Code: The high-level software that users interact with — the ride-hailing app, the mobile banking interface, the messaging platform.</w:t>
      </w:r>
    </w:p>
    <w:p>
      <w:r>
        <w:t>The critical insight for legal analysis is that each layer can be built, owned, maintained, modified, and broken by a different entity. A hardware manufacturer in Taiwan. An open-source foundation in Delaware. A cloud provider in Dublin. A startup in Kampala. When the system fails, the failure may originate at any one of these layers — and liability, if it is to be allocated at all, must be allocated with reference to the layer at which the failure occurred.</w:t>
      </w:r>
    </w:p>
    <w:p>
      <w:pPr>
        <w:pStyle w:val="Heading2"/>
      </w:pPr>
      <w:r>
        <w:t>2.2 Why Layers Matter for Legal Responsibility</w:t>
      </w:r>
    </w:p>
    <w:p>
      <w:r>
        <w:t>Consider the server crash scenario from the Week 1 formative assessment of the Executive Fellowship in AI Law and Digital Sovereignty: a manufacturing company purchases a server assembled from refurbished components. Months later, the server crashes. Forensic analysis reveals physical CPU cache damage (hardware layer) and a kernel panic (OS layer). A lawyer who cannot distinguish between these layers cannot identify the proper defendant. Was the failure the hardware vendor's (defective chip), the assembler's (improper cooling), or the software vendor's (resource exhaustion)?</w:t>
      </w:r>
    </w:p>
    <w:p>
      <w:r>
        <w:t>The abstraction layer framework provides the analytical tool for making this determination. It is not merely a technical taxonomy — it is a theory of legal responsibility. Each layer corresponds to a different potential duty-bearer, and the allocation of liability depends on identifying which layer's failure caused the harm.</w:t>
      </w:r>
    </w:p>
    <w:p>
      <w:pPr>
        <w:pStyle w:val="Heading1"/>
      </w:pPr>
      <w:r>
        <w:t>3. The EU Cyber Resilience Act: A Layered Law for a Layered World</w:t>
      </w:r>
    </w:p>
    <w:p>
      <w:pPr>
        <w:pStyle w:val="Heading2"/>
      </w:pPr>
      <w:r>
        <w:t>3.1 Key Provisions</w:t>
      </w:r>
    </w:p>
    <w:p>
      <w:r>
        <w:t>The EU Cyber Resilience Act (Regulation (EU) 2024/2847) entered into force in 2024 with phased implementation through 2027. Its core innovation is to regulate "products with digital elements" — defined as software and hardware products and their remote data processing solutions — throughout their lifecycle (CRA, Art. 3(1)). Key requirements include:</w:t>
      </w:r>
    </w:p>
    <w:p>
      <w:pPr>
        <w:pStyle w:val="ListBullet"/>
      </w:pPr>
      <w:r>
        <w:t>Cybersecurity-by-design: Manufacturers must design, develop, and produce products with digital elements in accordance with essential cybersecurity requirements (Art. 10).</w:t>
      </w:r>
    </w:p>
    <w:p>
      <w:pPr>
        <w:pStyle w:val="ListBullet"/>
      </w:pPr>
      <w:r>
        <w:t>Vulnerability handling: Manufacturers must identify, document, and remediate vulnerabilities for the expected product lifecycle or five years, whichever is shorter (Art. 11).</w:t>
      </w:r>
    </w:p>
    <w:p>
      <w:pPr>
        <w:pStyle w:val="ListBullet"/>
      </w:pPr>
      <w:r>
        <w:t>Software Bill of Materials (SBOM): Manufacturers must identify and document components, dependencies, and their supply chain relationships (Art. 11(2)).</w:t>
      </w:r>
    </w:p>
    <w:p>
      <w:pPr>
        <w:pStyle w:val="ListBullet"/>
      </w:pPr>
      <w:r>
        <w:t>Market surveillance: Member State authorities monitor compliance and may withdraw non-compliant products from the market (Arts. 44–53).</w:t>
      </w:r>
    </w:p>
    <w:p>
      <w:pPr>
        <w:pStyle w:val="ListBullet"/>
      </w:pPr>
      <w:r>
        <w:t>Liability for upstream dependencies: Manufacturers remain responsible for cybersecurity of components sourced from third parties, including open-source software (Art. 10(4)).</w:t>
      </w:r>
    </w:p>
    <w:p>
      <w:pPr>
        <w:pStyle w:val="Heading2"/>
      </w:pPr>
      <w:r>
        <w:t>3.2 The Extraterritorial Transmission Mechanism</w:t>
      </w:r>
    </w:p>
    <w:p>
      <w:r>
        <w:t>The CRA applies to any manufacturer placing products on the EU market, regardless of where the manufacturer is established (Art. 2). But its extraterritorial reach extends far beyond direct statutory application. Even for companies that do not sell a single unit in Europe, the CRA reshapes the global software supply chain in three ways:</w:t>
      </w:r>
    </w:p>
    <w:p>
      <w:pPr>
        <w:pStyle w:val="ListBullet"/>
      </w:pPr>
      <w:r>
        <w:t>Upstream compliance cascades: Open-source libraries, cloud SDKs, and development frameworks maintained by EU-based entities or entities serving the EU market must comply with the CRA. When OpenSSL, curl, or the Linux kernel raise their security baselines to meet CRA requirements, downstream applications everywhere inherit those changes — including in East Africa.</w:t>
      </w:r>
    </w:p>
    <w:p>
      <w:pPr>
        <w:pStyle w:val="ListBullet"/>
      </w:pPr>
      <w:r>
        <w:t>App store and platform requirements: Global app stores (Google Play, Apple App Store) and cloud platforms (AWS, Azure, Google Cloud) will impose CRA-compliant requirements on all applications they distribute or host, regardless of the developer's location. An app built by a Ugandan developer and distributed through Google Play must meet security standards set, indirectly, by the CRA.</w:t>
      </w:r>
    </w:p>
    <w:p>
      <w:pPr>
        <w:pStyle w:val="ListBullet"/>
      </w:pPr>
      <w:r>
        <w:t>Procurement and insurance cascades: Multinational corporations, development finance institutions, and international insurers increasingly require CRA-equivalent security standards in their procurement and underwriting decisions, creating contractual pressure for compliance far beyond the EU's regulatory perimeter.</w:t>
      </w:r>
    </w:p>
    <w:p>
      <w:r>
        <w:t>The consequence is that the CRA sets the default security standard for global software — and East Africa, which imports virtually all of its software stack, must live with the consequences of a regulatory framework in which it had no voice.</w:t>
      </w:r>
    </w:p>
    <w:p>
      <w:pPr>
        <w:pStyle w:val="Heading1"/>
      </w:pPr>
      <w:r>
        <w:t>4. Four Statutes, One Blind Spot: East African ICT Definitions</w:t>
      </w:r>
    </w:p>
    <w:p>
      <w:r>
        <w:t>This section examines the statutory definition of "computer" — or equivalent terms — in the primary ICT legislation of Uganda, Tanzania, Rwanda, and Kenya. The analysis focuses on whether each definition recognises the layered structure of digital systems and allocates legal responsibility accordingly.</w:t>
      </w:r>
    </w:p>
    <w:p>
      <w:pPr>
        <w:pStyle w:val="Heading2"/>
      </w:pPr>
      <w:r>
        <w:t>4.1 Uganda — Computer Misuse Act, 2011</w:t>
      </w:r>
    </w:p>
    <w:p>
      <w:r>
        <w:t>Section 2 of the Computer Misuse Act defines "computer" as follows:</w:t>
      </w:r>
    </w:p>
    <w:p>
      <w:pPr>
        <w:pStyle w:val="Quote"/>
      </w:pPr>
      <w:r>
        <w:t>"computer" means an electronic device that performs logical, arithmetic, and memory functions by electronic means, and includes any data storage facility or communications equipment directly related to or operating in conjunction with such a device, but does not include an automated typewriter or typesetter, a hand-held calculator, or a similar device which is not programmable.</w:t>
      </w:r>
    </w:p>
    <w:p>
      <w:r>
        <w:t>The definition is entirely hardware-oriented. It identifies a computer by what it is (an "electronic device") and what it does ("logical, arithmetic, and memory functions"). It makes no reference to software, firmware, operating systems, or network layers. The inclusion of "data storage facility" and "communications equipment" as accessories suggests an awareness of peripherals but not of the internal abstraction stack. A smartphone falls within this definition — but the definition gives no basis for distinguishing a failure in the hardware from a failure in the operating system from a failure in the application.</w:t>
      </w:r>
    </w:p>
    <w:p>
      <w:pPr>
        <w:pStyle w:val="Heading2"/>
      </w:pPr>
      <w:r>
        <w:t>4.2 Tanzania — Cybercrimes Act, 2015</w:t>
      </w:r>
    </w:p>
    <w:p>
      <w:r>
        <w:t>The Cybercrimes Act defines "computer system" as:</w:t>
      </w:r>
    </w:p>
    <w:p>
      <w:pPr>
        <w:pStyle w:val="Quote"/>
      </w:pPr>
      <w:r>
        <w:t>"computer system" means a device or a group of interconnected or related devices, including mobile phones, that follow a set of instructions to perform input, processing, output, storage and communication functions, but does not include an automated typewriter, calculator or other similar device.</w:t>
      </w:r>
    </w:p>
    <w:p>
      <w:r>
        <w:t>Tanzania's definition is broader than Uganda's in that it explicitly includes mobile phones and interconnected devices. However, it treats the entire system as undifferentiated. The phrase "a device or a group of interconnected or related devices" captures the physical topology but not the logical abstraction stack. Like Uganda, Tanzania's definition cannot distinguish between a failure at the hardware layer and a failure at the application layer.</w:t>
      </w:r>
    </w:p>
    <w:p>
      <w:pPr>
        <w:pStyle w:val="Heading2"/>
      </w:pPr>
      <w:r>
        <w:t>4.3 Rwanda — Law No. 60/2018</w:t>
      </w:r>
    </w:p>
    <w:p>
      <w:r>
        <w:t>Rwanda's Law No. 60/2018 on Cybercrime and Cybersecurity defines "computer system" as:</w:t>
      </w:r>
    </w:p>
    <w:p>
      <w:pPr>
        <w:pStyle w:val="Quote"/>
      </w:pPr>
      <w:r>
        <w:t>"computer system" means a device or a group of interconnected or related devices or related devices performing input, processing, output, storage, display or communication functions, including mobile phones, and any computer data.</w:t>
      </w:r>
    </w:p>
    <w:p>
      <w:r>
        <w:t>Rwanda's innovation is the inclusion of "computer data" as part of the system definition — a shift from purely physical to informational conception. However, the definition remains structurally monolithic. It does not disaggregate the system into layers, and it does not allocate responsibility based on where in the stack a failure originates.</w:t>
      </w:r>
    </w:p>
    <w:p>
      <w:pPr>
        <w:pStyle w:val="Heading2"/>
      </w:pPr>
      <w:r>
        <w:t>4.4 Kenya — Computer Misuse and Cybercrimes Act, 2018</w:t>
      </w:r>
    </w:p>
    <w:p>
      <w:r>
        <w:t>Kenya's Act provides the most granular definition in the region:</w:t>
      </w:r>
    </w:p>
    <w:p>
      <w:pPr>
        <w:pStyle w:val="Quote"/>
      </w:pPr>
      <w:r>
        <w:t>"computer system" means a device or a group of interconnected or related devices, including mobile phones, that follow a set of instructions to perform input, processing, output, storage and communication functions, and includes any other device connected to such system, and any computer data.</w:t>
      </w:r>
    </w:p>
    <w:p>
      <w:r>
        <w:t>The Act further defines "computer programme" as "a set of instructions, statements, or related data that, when executed by a computer, causes it to perform a function" — and makes limited reference to "part of a computer system" for jurisdictional purposes. Kenya's framework comes closest to recognising the distinction between hardware and software. However, the "part of a computer system" language is used only as a jurisdictional hook (to extend the court's reach to acts committed from outside Kenya), not as an allocation-of-responsibility framework for determining which party is liable for which layer's failure.</w:t>
      </w:r>
    </w:p>
    <w:p>
      <w:pPr>
        <w:pStyle w:val="Heading2"/>
      </w:pPr>
      <w:r>
        <w:t>4.5 Comparative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Jurisdiction</w:t>
            </w:r>
          </w:p>
        </w:tc>
        <w:tc>
          <w:tcPr>
            <w:tcW w:type="dxa" w:w="2160"/>
          </w:tcPr>
          <w:p>
            <w:r>
              <w:rPr>
                <w:b/>
                <w:sz w:val="18"/>
              </w:rPr>
              <w:t>Primary Statute</w:t>
            </w:r>
          </w:p>
        </w:tc>
        <w:tc>
          <w:tcPr>
            <w:tcW w:type="dxa" w:w="2160"/>
          </w:tcPr>
          <w:p>
            <w:r>
              <w:rPr>
                <w:b/>
                <w:sz w:val="18"/>
              </w:rPr>
              <w:t>Definition Focus</w:t>
            </w:r>
          </w:p>
        </w:tc>
        <w:tc>
          <w:tcPr>
            <w:tcW w:type="dxa" w:w="2160"/>
          </w:tcPr>
          <w:p>
            <w:r>
              <w:rPr>
                <w:b/>
                <w:sz w:val="18"/>
              </w:rPr>
              <w:t>Layered?</w:t>
            </w:r>
          </w:p>
        </w:tc>
      </w:tr>
      <w:tr>
        <w:tc>
          <w:tcPr>
            <w:tcW w:type="dxa" w:w="2160"/>
          </w:tcPr>
          <w:p>
            <w:r>
              <w:rPr>
                <w:sz w:val="18"/>
              </w:rPr>
              <w:t>Uganda</w:t>
            </w:r>
          </w:p>
        </w:tc>
        <w:tc>
          <w:tcPr>
            <w:tcW w:type="dxa" w:w="2160"/>
          </w:tcPr>
          <w:p>
            <w:r>
              <w:rPr>
                <w:sz w:val="18"/>
              </w:rPr>
              <w:t>CMA 2011</w:t>
            </w:r>
          </w:p>
        </w:tc>
        <w:tc>
          <w:tcPr>
            <w:tcW w:type="dxa" w:w="2160"/>
          </w:tcPr>
          <w:p>
            <w:r>
              <w:rPr>
                <w:sz w:val="18"/>
              </w:rPr>
              <w:t>Hardware device only</w:t>
            </w:r>
          </w:p>
        </w:tc>
        <w:tc>
          <w:tcPr>
            <w:tcW w:type="dxa" w:w="2160"/>
          </w:tcPr>
          <w:p>
            <w:r>
              <w:rPr>
                <w:sz w:val="18"/>
              </w:rPr>
              <w:t>No</w:t>
            </w:r>
          </w:p>
        </w:tc>
      </w:tr>
      <w:tr>
        <w:tc>
          <w:tcPr>
            <w:tcW w:type="dxa" w:w="2160"/>
          </w:tcPr>
          <w:p>
            <w:r>
              <w:rPr>
                <w:sz w:val="18"/>
              </w:rPr>
              <w:t>Tanzania</w:t>
            </w:r>
          </w:p>
        </w:tc>
        <w:tc>
          <w:tcPr>
            <w:tcW w:type="dxa" w:w="2160"/>
          </w:tcPr>
          <w:p>
            <w:r>
              <w:rPr>
                <w:sz w:val="18"/>
              </w:rPr>
              <w:t>Cybercrimes Act 2015</w:t>
            </w:r>
          </w:p>
        </w:tc>
        <w:tc>
          <w:tcPr>
            <w:tcW w:type="dxa" w:w="2160"/>
          </w:tcPr>
          <w:p>
            <w:r>
              <w:rPr>
                <w:sz w:val="18"/>
              </w:rPr>
              <w:t>Device + system</w:t>
            </w:r>
          </w:p>
        </w:tc>
        <w:tc>
          <w:tcPr>
            <w:tcW w:type="dxa" w:w="2160"/>
          </w:tcPr>
          <w:p>
            <w:r>
              <w:rPr>
                <w:sz w:val="18"/>
              </w:rPr>
              <w:t>No</w:t>
            </w:r>
          </w:p>
        </w:tc>
      </w:tr>
      <w:tr>
        <w:tc>
          <w:tcPr>
            <w:tcW w:type="dxa" w:w="2160"/>
          </w:tcPr>
          <w:p>
            <w:r>
              <w:rPr>
                <w:sz w:val="18"/>
              </w:rPr>
              <w:t>Rwanda</w:t>
            </w:r>
          </w:p>
        </w:tc>
        <w:tc>
          <w:tcPr>
            <w:tcW w:type="dxa" w:w="2160"/>
          </w:tcPr>
          <w:p>
            <w:r>
              <w:rPr>
                <w:sz w:val="18"/>
              </w:rPr>
              <w:t>Law No. 60/2018</w:t>
            </w:r>
          </w:p>
        </w:tc>
        <w:tc>
          <w:tcPr>
            <w:tcW w:type="dxa" w:w="2160"/>
          </w:tcPr>
          <w:p>
            <w:r>
              <w:rPr>
                <w:sz w:val="18"/>
              </w:rPr>
              <w:t>Device + data</w:t>
            </w:r>
          </w:p>
        </w:tc>
        <w:tc>
          <w:tcPr>
            <w:tcW w:type="dxa" w:w="2160"/>
          </w:tcPr>
          <w:p>
            <w:r>
              <w:rPr>
                <w:sz w:val="18"/>
              </w:rPr>
              <w:t>No</w:t>
            </w:r>
          </w:p>
        </w:tc>
      </w:tr>
      <w:tr>
        <w:tc>
          <w:tcPr>
            <w:tcW w:type="dxa" w:w="2160"/>
          </w:tcPr>
          <w:p>
            <w:r>
              <w:rPr>
                <w:sz w:val="18"/>
              </w:rPr>
              <w:t>Kenya</w:t>
            </w:r>
          </w:p>
        </w:tc>
        <w:tc>
          <w:tcPr>
            <w:tcW w:type="dxa" w:w="2160"/>
          </w:tcPr>
          <w:p>
            <w:r>
              <w:rPr>
                <w:sz w:val="18"/>
              </w:rPr>
              <w:t>CMCA 2018</w:t>
            </w:r>
          </w:p>
        </w:tc>
        <w:tc>
          <w:tcPr>
            <w:tcW w:type="dxa" w:w="2160"/>
          </w:tcPr>
          <w:p>
            <w:r>
              <w:rPr>
                <w:sz w:val="18"/>
              </w:rPr>
              <w:t>Device + programme, limited part-of-system</w:t>
            </w:r>
          </w:p>
        </w:tc>
        <w:tc>
          <w:tcPr>
            <w:tcW w:type="dxa" w:w="2160"/>
          </w:tcPr>
          <w:p>
            <w:r>
              <w:rPr>
                <w:sz w:val="18"/>
              </w:rPr>
              <w:t>Partial (jurisdiction only)</w:t>
            </w:r>
          </w:p>
        </w:tc>
      </w:tr>
    </w:tbl>
    <w:p/>
    <w:p>
      <w:r>
        <w:t>Across all four jurisdictions, the statutory definition of "computer" or "computer system" operates on what this paper calls the "monolithic assumption": the belief that a computer is a single, homogenous entity whose components are legally indistinguishable. None of the four frameworks was designed with the CRA's core insight — that the digital product is a composite of parts built by different parties with distinct responsibilities — in mind.</w:t>
      </w:r>
    </w:p>
    <w:p>
      <w:pPr>
        <w:pStyle w:val="Heading1"/>
      </w:pPr>
      <w:r>
        <w:t>5. The Domestic Regulatory Gap</w:t>
      </w:r>
    </w:p>
    <w:p>
      <w:pPr>
        <w:pStyle w:val="Heading2"/>
      </w:pPr>
      <w:r>
        <w:t>5.1 Uganda's Three Siloed Regulators</w:t>
      </w:r>
    </w:p>
    <w:p>
      <w:r>
        <w:t>Uganda exemplifies the institutional dimension of the abstraction layer problem. Three separate agencies regulate the same device:</w:t>
      </w:r>
    </w:p>
    <w:p>
      <w:pPr>
        <w:pStyle w:val="ListBullet"/>
      </w:pPr>
      <w:r>
        <w:t>The Uganda National Bureau of Standards (UNBS) sets physical hardware standards, certifying that devices meet safety, quality, and performance requirements under the Standards Act (Cap. 328). UNBS's mandate is focused on the physical object — what the abstraction layer framework would call the hardware layer.</w:t>
      </w:r>
    </w:p>
    <w:p>
      <w:pPr>
        <w:pStyle w:val="ListBullet"/>
      </w:pPr>
      <w:r>
        <w:t>The Uganda Communications Commission (UCC) regulates telecommunications type-approval and spectrum allocation under the Uganda Communications Act 2013. UCC's concern is the device as a communications endpoint, touching both hardware (spectrum compliance) and network (interconnection) layers.</w:t>
      </w:r>
    </w:p>
    <w:p>
      <w:pPr>
        <w:pStyle w:val="ListBullet"/>
      </w:pPr>
      <w:r>
        <w:t>The National Information Technology Authority-Uganda (NITA-U) certifies providers of IT products and services under the NITA-U (Certification of Providers of Information Technology Products and Services) Regulations, 2016. NITA-U's mandate extends to software quality and provider competence — touching the application and service layers.</w:t>
      </w:r>
    </w:p>
    <w:p>
      <w:r>
        <w:t>These three agencies operate with minimal structural coordination. None has a statutory mandate to track the software supply chain. None monitors foreign regulatory developments that could affect device functionality. And none has authority over the full abstraction stack. A device may satisfy UNBS hardware standards, pass UCC type-approval, and receive NITA-U certification — and still become non-functional because an upstream software library changed its security requirements in response to the CRA.</w:t>
      </w:r>
    </w:p>
    <w:p>
      <w:pPr>
        <w:pStyle w:val="Heading2"/>
      </w:pPr>
      <w:r>
        <w:t>5.2 Rwanda's Coordinated Model</w:t>
      </w:r>
    </w:p>
    <w:p>
      <w:r>
        <w:t>Rwanda has adopted a more coordinated approach. The Rwanda Utilities Regulatory Authority (RURA) oversees telecommunications and ICT services, while the Rwanda Standards Board (RSB) sets technical standards. These institutions operate with greater formal coordination than their Ugandan counterparts, supported by Rwanda's centralised governance culture and smaller institutional landscape. The Rwanda Information Society Authority (RISA) adds a digital transformation mandate that bridges regulatory silos.</w:t>
      </w:r>
    </w:p>
    <w:p>
      <w:r>
        <w:t>Rwanda's model demonstrates the viability of preventive, standards-based regulation in an East African context. However, even Rwanda's coordinated framework has not yet grappled with the abstraction layer problem in statutory terms. RURA and RSB regulate the endpoint, not the supply chain — and the CRA's impact is felt through the supply chain, not the endpoint.</w:t>
      </w:r>
    </w:p>
    <w:p>
      <w:pPr>
        <w:pStyle w:val="Heading2"/>
      </w:pPr>
      <w:r>
        <w:t>5.3 Kenya's Technology-Neutral Approach</w:t>
      </w:r>
    </w:p>
    <w:p>
      <w:r>
        <w:t>Kenya has moved toward technology-neutral regulation in its ICT framework. The Communications Authority of Kenya (CAK) licenses communications services and equipment through a type-approval regime that focuses on performance outcomes rather than technological categories. This approach provides regulatory flexibility: the CAK can adapt to new technologies without requiring legislative amendment each time the market changes.</w:t>
      </w:r>
    </w:p>
    <w:p>
      <w:r>
        <w:t>Technology neutrality is an improvement over Uganda's rigid silos, and it has allowed Kenya to accommodate a faster-evolving digital economy. However, technology neutrality does not solve the abstraction layer problem. A performance-based standard can test whether a device works, but it cannot allocate responsibility for which layer's failure caused it to stop working. For that, a layered statutory framework is required — not merely a flexible one.</w:t>
      </w:r>
    </w:p>
    <w:p>
      <w:pPr>
        <w:pStyle w:val="Heading1"/>
      </w:pPr>
      <w:r>
        <w:t>6. The Obsolescence Trap</w:t>
      </w:r>
    </w:p>
    <w:p>
      <w:pPr>
        <w:pStyle w:val="Heading2"/>
      </w:pPr>
      <w:r>
        <w:t>6.1 The Refurbished Device Economy</w:t>
      </w:r>
    </w:p>
    <w:p>
      <w:r>
        <w:t>East Africa's digital transformation has been built substantially on refurbished and budget devices. Second-hand smartphones from Europe, North America, and Asia dominate the market. The International Telecommunication Union estimates that refurbished devices account for 60–80% of smartphone imports in Sub-Saharan Africa (ITU, 2024). These devices are affordable — typically costing 30–50% less than new equivalents — but they carry older chips, older OS versions, and shorter remaining support lifetimes.</w:t>
      </w:r>
    </w:p>
    <w:p>
      <w:pPr>
        <w:pStyle w:val="Heading2"/>
      </w:pPr>
      <w:r>
        <w:t>6.2 How the CRA Accelerates Exclusion</w:t>
      </w:r>
    </w:p>
    <w:p>
      <w:r>
        <w:t>The CRA accelerates device exclusion through a mechanism this paper calls "code-layer obsolescence." The mechanism operates as follows:</w:t>
      </w:r>
    </w:p>
    <w:p>
      <w:pPr>
        <w:pStyle w:val="ListBullet"/>
      </w:pPr>
      <w:r>
        <w:t>Step 1: A foreign regulatory instrument (the CRA) requires upstream software components to meet higher security standards.</w:t>
      </w:r>
    </w:p>
    <w:p>
      <w:pPr>
        <w:pStyle w:val="ListBullet"/>
      </w:pPr>
      <w:r>
        <w:t>Step 2: Maintainers of open-source libraries, cloud SDKs, and app-store infrastructure update their software to comply, dropping support for older cryptographic algorithms, API versions, and chip architectures.</w:t>
      </w:r>
    </w:p>
    <w:p>
      <w:pPr>
        <w:pStyle w:val="ListBullet"/>
      </w:pPr>
      <w:r>
        <w:t>Step 3: Applications that depend on those upstream components can no longer run on devices that lack the updated capabilities.</w:t>
      </w:r>
    </w:p>
    <w:p>
      <w:pPr>
        <w:pStyle w:val="ListBullet"/>
      </w:pPr>
      <w:r>
        <w:t>Step 4: The older device — which is physically functional — becomes effectively non-functional for the digital services that matter: mobile money, ride-hailing, e-government, health applications.</w:t>
      </w:r>
    </w:p>
    <w:p>
      <w:r>
        <w:t>The critical feature of code-layer obsolescence is that it is invisible to traditional regulatory frameworks. No regulator banned the device. No manufacturer stopped supporting it. The device simply stops being able to run the software that makes it useful — and the mechanism that caused this is opaque to a legal system that defines "computer" as a single object.</w:t>
      </w:r>
    </w:p>
    <w:p>
      <w:pPr>
        <w:pStyle w:val="Heading2"/>
      </w:pPr>
      <w:r>
        <w:t>6.3 Quantitative Impact Assessment</w:t>
      </w:r>
    </w:p>
    <w:p>
      <w:r>
        <w:t>While a full impact assessment is beyond the scope of this paper, preliminary data indicate the scale of the risk:</w:t>
      </w:r>
    </w:p>
    <w:p>
      <w:pPr>
        <w:pStyle w:val="ListBullet"/>
      </w:pPr>
      <w:r>
        <w:t>Uganda: 28% internet penetration (14.2 million users, UCC 2025). Refurbished devices estimated at 65% of smartphone imports.</w:t>
      </w:r>
    </w:p>
    <w:p>
      <w:pPr>
        <w:pStyle w:val="ListBullet"/>
      </w:pPr>
      <w:r>
        <w:t>Kenya: &gt;80% smartphone penetration. Lower refurbished share but higher absolute device count.</w:t>
      </w:r>
    </w:p>
    <w:p>
      <w:pPr>
        <w:pStyle w:val="ListBullet"/>
      </w:pPr>
      <w:r>
        <w:t>Rwanda: 38% internet penetration. Active government push for affordable device access.</w:t>
      </w:r>
    </w:p>
    <w:p>
      <w:pPr>
        <w:pStyle w:val="ListBullet"/>
      </w:pPr>
      <w:r>
        <w:t>Tanzania: 29% internet penetration. Highly price-sensitive market with high refurbished device reliance.</w:t>
      </w:r>
    </w:p>
    <w:p>
      <w:r>
        <w:t>A device-exclusion shock that Kenya can absorb could meaningfully set back digital adoption in Uganda or Tanzania. The countries with the lowest penetration rates and highest refurbished shares face the greatest risk — yet they have the least capacity to respond through domestic regulatory action.</w:t>
      </w:r>
    </w:p>
    <w:p>
      <w:pPr>
        <w:pStyle w:val="Heading1"/>
      </w:pPr>
      <w:r>
        <w:t>7. A Reform Agenda for East Africa</w:t>
      </w:r>
    </w:p>
    <w:p>
      <w:r>
        <w:t>The following four-priority reform agenda is designed to be implementable within existing institutional capacity, requiring legislative amendment rather than wholesale replacement of the current framework.</w:t>
      </w:r>
    </w:p>
    <w:p>
      <w:pPr>
        <w:pStyle w:val="Heading2"/>
      </w:pPr>
      <w:r>
        <w:t>7.1 Priority 1: Fix the Definitions</w:t>
      </w:r>
    </w:p>
    <w:p>
      <w:r>
        <w:t>The single highest-impact, lowest-cost reform available is to amend the interpretation provisions of ICT legislation across the region to define a computer system in layered terms. A model provision would read:</w:t>
      </w:r>
    </w:p>
    <w:p>
      <w:pPr>
        <w:pStyle w:val="Quote"/>
      </w:pPr>
      <w:r>
        <w:t>"computer system" means a multilayered assembly of digital components, including but not limited to: (a) physical hardware, including processors, memory, and input/output devices at the hardware layer; (b) firmware and low-level system software at the firmware layer; (c) an operating system and its kernel at the operating system layer; (d) system libraries, application programming interfaces, and software development kits at the infrastructure software layer; (e) application software at the application layer; and (f) remote processing, cloud computing, or network-based services at the network services layer. Responsibility for a failure of any component within a layer shall be allocated to the party or parties exercising control over that layer.</w:t>
      </w:r>
    </w:p>
    <w:p>
      <w:r>
        <w:t>This provision does three things. First, it makes the layered structure of digital systems legally visible. Second, it establishes the principle that legal responsibility follows control over a specific layer. Third, it provides the statutory foundation for the remaining reforms.</w:t>
      </w:r>
    </w:p>
    <w:p>
      <w:pPr>
        <w:pStyle w:val="Heading2"/>
      </w:pPr>
      <w:r>
        <w:t>7.2 Priority 2: Establish a Regional Early-Warning Mechanism</w:t>
      </w:r>
    </w:p>
    <w:p>
      <w:r>
        <w:t>The East African Community (EAC) should establish a Technology Monitoring Unit (TMU) within the EAC Secretariat with the following mandate:</w:t>
      </w:r>
    </w:p>
    <w:p>
      <w:pPr>
        <w:pStyle w:val="ListBullet"/>
      </w:pPr>
      <w:r>
        <w:t>Monitor global regulatory and technical developments affecting digital products, with priority focus on the EU CRA, US cybersecurity regulations, and China's digital standards.</w:t>
      </w:r>
    </w:p>
    <w:p>
      <w:pPr>
        <w:pStyle w:val="ListBullet"/>
      </w:pPr>
      <w:r>
        <w:t>Publish quarterly Technology-Readiness Assessments (TRAs) for the Partner States, identifying emerging risks to device compatibility and digital inclusion.</w:t>
      </w:r>
    </w:p>
    <w:p>
      <w:pPr>
        <w:pStyle w:val="ListBullet"/>
      </w:pPr>
      <w:r>
        <w:t>Issue Early-Warning Notices (EWNs) when upstream software changes are likely to render significant portions of the regional device fleet non-functional.</w:t>
      </w:r>
    </w:p>
    <w:p>
      <w:pPr>
        <w:pStyle w:val="ListBullet"/>
      </w:pPr>
      <w:r>
        <w:t>Maintain a public registry of regulated digital products with their known upstream dependencies (linked to the SBOM requirement proposed below).</w:t>
      </w:r>
    </w:p>
    <w:p>
      <w:r>
        <w:t>The TMU would convert the region's current reactive posture (discovering exclusion after it happens) into a proactive one (identifying risks before they materialise). The annual cost would be modest — estimated at USD 500,000–750,000 for a unit of 5–7 staff — and could be funded through the EAC budget or development partner contributions.</w:t>
      </w:r>
    </w:p>
    <w:p>
      <w:pPr>
        <w:pStyle w:val="Heading2"/>
      </w:pPr>
      <w:r>
        <w:t>7.3 Priority 3: Mandate Software Bills of Materials</w:t>
      </w:r>
    </w:p>
    <w:p>
      <w:r>
        <w:t>A Software Bill of Materials (SBOM) is a formal, machine-readable inventory of all software components, dependencies, and their supply chain relationships (NTIA, 2021). The CRA mandates SBOMs for products with digital elements (Art. 11(2)). East Africa should adopt a similar requirement:</w:t>
      </w:r>
    </w:p>
    <w:p>
      <w:pPr>
        <w:pStyle w:val="ListBullet"/>
      </w:pPr>
      <w:r>
        <w:t>Immediate: Require SBOMs for all ICT products procured by government ministries, departments, and agencies across the EAC Partner States.</w:t>
      </w:r>
    </w:p>
    <w:p>
      <w:pPr>
        <w:pStyle w:val="ListBullet"/>
      </w:pPr>
      <w:r>
        <w:t>Medium-term (2–3 years): Extend SBOM requirements to all regulated ICT products — including telecommunications equipment, financial services technology, and health-sector digital products.</w:t>
      </w:r>
    </w:p>
    <w:p>
      <w:pPr>
        <w:pStyle w:val="ListBullet"/>
      </w:pPr>
      <w:r>
        <w:t>Long-term (4–5 years): Mandate SBOM submission as part of the type-approval or certification process for all digital products entering the regional market.</w:t>
      </w:r>
    </w:p>
    <w:p>
      <w:r>
        <w:t>SBOM requirements have the additional benefit of building the region's capacity to monitor its own software supply chain — a capability that is currently almost entirely absent from East African regulatory practice.</w:t>
      </w:r>
    </w:p>
    <w:p>
      <w:pPr>
        <w:pStyle w:val="Heading2"/>
      </w:pPr>
      <w:r>
        <w:t>7.4 Priority 4: Restructure Domestic Institutions</w:t>
      </w:r>
    </w:p>
    <w:p>
      <w:r>
        <w:t>The fourth priority addresses the institutional fragmentation documented in Section 5. Two models are available:</w:t>
      </w:r>
    </w:p>
    <w:p>
      <w:pPr>
        <w:pStyle w:val="ListBullet"/>
      </w:pPr>
      <w:r>
        <w:t>Model A — Consolidation: Merge the relevant functions of UNBS, UCC, and NITA-U into a single Digital Regulatory Agency with authority over the full abstraction stack. This is the most ambitious reform but has precedent in jurisdictions such as Singapore's Infocomm Media Development Authority (IMDA).</w:t>
      </w:r>
    </w:p>
    <w:p>
      <w:pPr>
        <w:pStyle w:val="ListBullet"/>
      </w:pPr>
      <w:r>
        <w:t>Model B — Formal Coordination: Establish a statutory coordination mechanism — a Digital Regulatory Coordination Committee — with mandatory consultation requirements, shared data infrastructure, and a dispute resolution process for cross-cutting issues. This is less disruptive and can be implemented through regulation rather than legislation.</w:t>
      </w:r>
    </w:p>
    <w:p>
      <w:r>
        <w:t>This paper recommends Model B as an immediate step, with Model A as a medium-term objective. The Coordination Committee should be established within 12 months, with the consolidation decision revisited after three years of operational experience.</w:t>
      </w:r>
    </w:p>
    <w:p>
      <w:pPr>
        <w:pStyle w:val="Heading1"/>
      </w:pPr>
      <w:r>
        <w:t>8. Conclusion: Digital Sovereignty as Regulatory Architecture</w:t>
      </w:r>
    </w:p>
    <w:p>
      <w:r>
        <w:t>Digital sovereignty is commonly discussed in East Africa as a question of infrastructure: building data centres, deploying national fibre backbones, and promoting domestic hardware manufacturing. These are important objectives, but they miss a deeper point. A data centre filled with servers running imported software that falls silent because a regulator in Brussels updated a security standard is not sovereign infrastructure. It is rented space.</w:t>
      </w:r>
    </w:p>
    <w:p>
      <w:r>
        <w:t>True digital sovereignty requires regulatory architecture that sees the layers beneath the screen. It requires statutory definitions that distribute responsibility across the abstraction stack, institutional frameworks that coordinate across layers rather than siloing them, and early-warning mechanisms that detect upstream disruptions before they cascade into downstream exclusion.</w:t>
      </w:r>
    </w:p>
    <w:p>
      <w:r>
        <w:t>The EU Cyber Resilience Act is the most significant extraterritorial force reshaping ICT regulation since the GDPR. For East Africa, it is not merely a compliance challenge — it is a diagnostic. It reveals the fault lines in our legal architecture with unusual clarity. A law that defines "computer" as a single object cannot regulate a market built in layers. A regulator that oversees one layer cannot protect consumers affected by failures in another. And a region that imports its entire software stack without monitoring the regulatory frameworks of its suppliers is not exercising sovereignty — it is outsourcing it.</w:t>
      </w:r>
    </w:p>
    <w:p>
      <w:r>
        <w:t>The reforms proposed in this paper — layered definitions, a regional early-warning mechanism, mandatory SBOMs, and institutional coordination — are not ambitious by global standards. They represent the minimum regulatory architecture that a digitally sovereign East African jurisdiction requires. The question is not whether the region can afford to implement them. The question is whether it can afford not to — while Kibirige's phone quietly falls out of the market, not because any single actor decided to exclude him, but because nobody's job was to notice that he was about to be excluded.</w:t>
      </w:r>
    </w:p>
    <w:p>
      <w:r>
        <w:br w:type="page"/>
      </w:r>
    </w:p>
    <w:p>
      <w:pPr>
        <w:pStyle w:val="Heading1"/>
      </w:pPr>
      <w:r>
        <w:t>References</w:t>
      </w:r>
    </w:p>
    <w:p>
      <w:pPr>
        <w:spacing w:after="80"/>
        <w:ind w:left="850" w:hanging="850"/>
      </w:pPr>
      <w:r>
        <w:rPr>
          <w:sz w:val="20"/>
        </w:rPr>
        <w:t>European Union. (2024). Regulation (EU) 2024/2847 of the European Parliament and of the Council on horizontal cybersecurity requirements for products with digital elements (Cyber Resilience Act). Official Journal of the European Union.</w:t>
      </w:r>
    </w:p>
    <w:p>
      <w:pPr>
        <w:spacing w:after="80"/>
        <w:ind w:left="850" w:hanging="850"/>
      </w:pPr>
      <w:r>
        <w:rPr>
          <w:sz w:val="20"/>
        </w:rPr>
        <w:t>International Telecommunication Union. (2024). Global Cybersecurity Index 2024. Geneva: ITU.</w:t>
      </w:r>
    </w:p>
    <w:p>
      <w:pPr>
        <w:spacing w:after="80"/>
        <w:ind w:left="850" w:hanging="850"/>
      </w:pPr>
      <w:r>
        <w:rPr>
          <w:sz w:val="20"/>
        </w:rPr>
        <w:t>Kenya. (2018). Computer Misuse and Cybercrimes Act, No. 5 of 2018.</w:t>
      </w:r>
    </w:p>
    <w:p>
      <w:pPr>
        <w:spacing w:after="80"/>
        <w:ind w:left="850" w:hanging="850"/>
      </w:pPr>
      <w:r>
        <w:rPr>
          <w:sz w:val="20"/>
        </w:rPr>
        <w:t>National Information Technology Authority-Uganda. (2016). Certification of Providers of Information Technology Products and Services Regulations, 2016. Statutory Instrument No. 69 of 2016.</w:t>
      </w:r>
    </w:p>
    <w:p>
      <w:pPr>
        <w:spacing w:after="80"/>
        <w:ind w:left="850" w:hanging="850"/>
      </w:pPr>
      <w:r>
        <w:rPr>
          <w:sz w:val="20"/>
        </w:rPr>
        <w:t>National Telecommunications and Information Administration. (2021). Software Bill of Materials Elements and Considerations. US Department of Commerce.</w:t>
      </w:r>
    </w:p>
    <w:p>
      <w:pPr>
        <w:spacing w:after="80"/>
        <w:ind w:left="850" w:hanging="850"/>
      </w:pPr>
      <w:r>
        <w:rPr>
          <w:sz w:val="20"/>
        </w:rPr>
        <w:t>Rwanda. (2018). Law No. 60/2018 on Cybercrime and Cybersecurity.</w:t>
      </w:r>
    </w:p>
    <w:p>
      <w:pPr>
        <w:spacing w:after="80"/>
        <w:ind w:left="850" w:hanging="850"/>
      </w:pPr>
      <w:r>
        <w:rPr>
          <w:sz w:val="20"/>
        </w:rPr>
        <w:t>Tanenbaum, A.S. &amp; Bos, H. (2023). Modern Operating Systems (5th ed.). Pearson.</w:t>
      </w:r>
    </w:p>
    <w:p>
      <w:pPr>
        <w:spacing w:after="80"/>
        <w:ind w:left="850" w:hanging="850"/>
      </w:pPr>
      <w:r>
        <w:rPr>
          <w:sz w:val="20"/>
        </w:rPr>
        <w:t>Tanzania. (2015). Cybercrimes Act, No. 12 of 2015.</w:t>
      </w:r>
    </w:p>
    <w:p>
      <w:pPr>
        <w:spacing w:after="80"/>
        <w:ind w:left="850" w:hanging="850"/>
      </w:pPr>
      <w:r>
        <w:rPr>
          <w:sz w:val="20"/>
        </w:rPr>
        <w:t>Uganda. (2011). Computer Misuse Act, No. 2 of 2011, as amended.</w:t>
      </w:r>
    </w:p>
    <w:p>
      <w:pPr>
        <w:spacing w:after="80"/>
        <w:ind w:left="850" w:hanging="850"/>
      </w:pPr>
      <w:r>
        <w:rPr>
          <w:sz w:val="20"/>
        </w:rPr>
        <w:t>Uganda Communications Commission. (2025). Market Performance Report 2025. Kampala: UCC.</w:t>
      </w:r>
    </w:p>
    <w:p>
      <w:pPr>
        <w:spacing w:after="80"/>
        <w:ind w:left="850" w:hanging="850"/>
      </w:pPr>
      <w:r>
        <w:rPr>
          <w:sz w:val="20"/>
        </w:rPr>
        <w:t>Uganda. (2013). Uganda Communications Act, 2013.</w:t>
      </w:r>
    </w:p>
    <w:p>
      <w:pPr>
        <w:spacing w:after="80"/>
        <w:ind w:left="850" w:hanging="850"/>
      </w:pPr>
      <w:r>
        <w:rPr>
          <w:sz w:val="20"/>
        </w:rPr>
        <w:t>Uganda. Standards Act, Cap. 328.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