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Printout Lie</w:t>
      </w:r>
    </w:p>
    <w:p>
      <w:pPr>
        <w:jc w:val="center"/>
      </w:pPr>
      <w:r>
        <w:rPr>
          <w:i/>
          <w:sz w:val="26"/>
        </w:rPr>
        <w:t>Why Ugandan Courts Are Trusting Paper That Never Told the Truth</w:t>
      </w:r>
    </w:p>
    <w:p/>
    <w:p>
      <w:r>
        <w:rPr>
          <w:sz w:val="24"/>
        </w:rPr>
        <w:t>There is a ritual being performed in Ugandan courtrooms right now, and it is built on an assumption that quietly stopped being true.</w:t>
      </w:r>
    </w:p>
    <w:p/>
    <w:p>
      <w:r>
        <w:rPr>
          <w:sz w:val="24"/>
        </w:rPr>
        <w:t>A clerk walks into the witness box. Counsel asks: was the computer working? Yes. The document is marked, admitted, and everyone moves on. It takes maybe four minutes. Judges love it. Lawyers love it. Everyone goes home on time. Nobody asks the hard questions, because nobody has been taught what the hard questions are.</w:t>
      </w:r>
    </w:p>
    <w:p/>
    <w:p>
      <w:r>
        <w:rPr>
          <w:sz w:val="24"/>
        </w:rPr>
        <w:t>The problem is that this routine assumes a hardware check guarantees the truth of the printout. That stopped being true the moment businesses moved their data off single desktop computers and into distributed databases. The law has not caught up. Most lawyers have not noticed.</w:t>
      </w:r>
    </w:p>
    <w:p/>
    <w:p>
      <w:r>
        <w:rPr>
          <w:sz w:val="24"/>
        </w:rPr>
        <w:t>The Electronic Transactions Act was written in 2008 for a world where one computer sat in one room and stored one set of records. Section 8(5)(a) gives you a presumption: prove the computer was operating properly, and the records system is presumed authentic. If the machine works, the record is reliable. That logic maps beautifully onto a single server running a traditional relational database with ACID guarantees. You check the machine, it is fine, the record is fine. Done.</w:t>
      </w:r>
    </w:p>
    <w:p/>
    <w:p>
      <w:r>
        <w:rPr>
          <w:sz w:val="24"/>
        </w:rPr>
        <w:t>But data no longer lives on one machine. An MTN call detail record passes through multiple mobile switching centres before it is logged. A bank balance stored on a distributed database can look different depending on which data centre processed your query. A government database hosted on a cloud platform might replicate across three continents in seconds. The relevant question is no longer whether the computer powered on. It is whether the data returned is the data you think it is at the time you needed it.</w:t>
      </w:r>
    </w:p>
    <w:p/>
    <w:p>
      <w:r>
        <w:rPr>
          <w:sz w:val="24"/>
        </w:rPr>
        <w:t>There are two transformations that strip a paper printout of reliability, and understanding both is the key to seeing why the current practice is fragile.</w:t>
      </w:r>
    </w:p>
    <w:p/>
    <w:p>
      <w:r>
        <w:rPr>
          <w:sz w:val="24"/>
        </w:rPr>
        <w:t>The first transformation happens inside the network, before anyone hits print. When data is written to a distributed system, it must synchronise across nodes. Many modern databases use a model called eventual consistency. A write to one node propagates to others, but not instantly. A query run on a replica during that propagation window will return stale data. The computer is functioning. The hardware passes every diagnostic. But the printout is wrong. Not maliciously wrong. Just wrong in a way the law has no vocabulary for.</w:t>
      </w:r>
    </w:p>
    <w:p/>
    <w:p>
      <w:r>
        <w:rPr>
          <w:sz w:val="24"/>
        </w:rPr>
        <w:t>Section 8(5)(a) asks whether the computer was operating properly. It does not ask about consistency models. It does not ask whether the query hit a primary node or a read replica. It does not ask what replication lag existed at the moment of extraction. It treats the entire system as a black box and checks only whether the box powered on. In a traditional ACID database, where every read returns the latest committed write, that might be defensible. In a BASE database, where the system favours availability over immediate consistency, it is meaningless.</w:t>
      </w:r>
    </w:p>
    <w:p/>
    <w:p>
      <w:r>
        <w:rPr>
          <w:sz w:val="24"/>
        </w:rPr>
        <w:t>The second transformation happens at the moment of extraction. A database does not store paper. It stores structured data organised in tables, documents, or key-value pairs. To produce a printout, a query must extract that data, transform it, and render it onto a static page. Every step introduces potential distortion. The query might exclude records through flawed filtering. The rendering engine might truncate critical fields or apply formatting that changes the presentation of the underlying information. And every shred of metadata that could verify the record, cryptographic hashes, audit trails, execution logs, timestamps, vanishes the moment the data becomes ink on paper.</w:t>
      </w:r>
    </w:p>
    <w:p/>
    <w:p>
      <w:r>
        <w:rPr>
          <w:sz w:val="24"/>
        </w:rPr>
        <w:t>This is the double transformation. First, the architecture determines what data is available and when. Second, the extraction determines what slice of that data ends up on the page. The ETA addresses neither independently. It treats the entire chain as one opaque system and asks only whether the hardware at the end of it worked.</w:t>
      </w:r>
    </w:p>
    <w:p/>
    <w:p>
      <w:r>
        <w:rPr>
          <w:sz w:val="24"/>
        </w:rPr>
        <w:t>Ugandan courts are not alone here. Other jurisdictions have confronted the same problem, and their experiences should shape how we approach this gap.</w:t>
      </w:r>
    </w:p>
    <w:p/>
    <w:p>
      <w:r>
        <w:rPr>
          <w:sz w:val="24"/>
        </w:rPr>
        <w:t>The United Kingdom learned the hard way. In the Post Office Horizon scandal, hundreds of subpostmasters were convicted of theft and false accounting based on printouts from Fujitsu accounting software. The courts applied the common law presumption that computer systems operate correctly. That presumption, reasonable on its face, became a procedural trap. Subpostmasters could not challenge the printouts because the law assumed they were correct and required the accused to prove otherwise. They could not. They went to prison. The Court of Appeal quashed dozens of convictions years later. A public inquiry is still ongoing. That is what happens when courts trust paper without understanding the system behind it.</w:t>
      </w:r>
    </w:p>
    <w:p/>
    <w:p>
      <w:r>
        <w:rPr>
          <w:sz w:val="24"/>
        </w:rPr>
        <w:t>Canada sidestepped the architecture question entirely. Section 31.2 of the Canada Evidence Act says that if a business has consistently acted on a printout or relied on it as a record in daily operations, that reliance is itself sufficient proof of integrity. No need to analyse nodes, replicas, or consistency models. The businesss own trust in the output fills the gap.</w:t>
      </w:r>
    </w:p>
    <w:p/>
    <w:p>
      <w:r>
        <w:rPr>
          <w:sz w:val="24"/>
        </w:rPr>
        <w:t>India went the opposite direction and imposed the strictest regime in the Commonwealth. The Bharatiya Sakshya Adhiniyam 2023 requires a signed certificate for any electronic record tendered as secondary evidence. The certificate must include a cryptographic hash value that verifies the record has not been altered since extraction. No certificate, no admissibility. The hash creates a chain of custody verifiable independent of whoever testifies about the computer.</w:t>
      </w:r>
    </w:p>
    <w:p/>
    <w:p>
      <w:r>
        <w:rPr>
          <w:sz w:val="24"/>
        </w:rPr>
        <w:t>Uganda has not chosen either path. It has a statutory gap and a common law framework capable of filling it, if lawyers use the tools correctly.</w:t>
      </w:r>
    </w:p>
    <w:p/>
    <w:p>
      <w:r>
        <w:rPr>
          <w:sz w:val="24"/>
        </w:rPr>
        <w:t>The most powerful tool is the ten-step test from Amongin Jane Frances Akili v Lucy Akello (2015). Step 5 requires proof of the reliability of the computer programs used to process the data. Step 6 requires proof of the measures taken to verify the accuracy of the program. Step 10 requires that an independent third party should be able to examine the process and achieve the same results. These steps, properly applied, let counsel probe every question the statute does not ask: what database architecture, what consistency model, primary or replica node, what replication lag existed, and would a third party repeating the query get the same answer.</w:t>
      </w:r>
    </w:p>
    <w:p/>
    <w:p>
      <w:r>
        <w:rPr>
          <w:sz w:val="24"/>
        </w:rPr>
        <w:t>There are five things every Ugandan litigator should do starting tomorrow.</w:t>
      </w:r>
    </w:p>
    <w:p/>
    <w:p>
      <w:r>
        <w:rPr>
          <w:sz w:val="24"/>
        </w:rPr>
        <w:t>First, stop fighting admissibility under Section 8(5)(a). You will lose. The presumption is too easy to discharge. Courts accept basic proof of hardware operation because that is all the section asks for. Instead, accept admission under Section 8(3) and redirect your attack to probative weight under Section 8(4). The architecture questions live at weight, not admissibility. This is the single most important strategic shift you can make.</w:t>
      </w:r>
    </w:p>
    <w:p/>
    <w:p>
      <w:r>
        <w:rPr>
          <w:sz w:val="24"/>
        </w:rPr>
        <w:t>Second, use pre-trial discovery aggressively. Order 10 of the Civil Procedure Rules allows you to demand database schemas, system architecture logs, and raw export files before trial. Do not walk into court guessing whether the other sides database uses ACID or BASE consistency. Demand the information during discovery while you still have time to prepare. Discovery is your chance to build the record.</w:t>
      </w:r>
    </w:p>
    <w:p/>
    <w:p>
      <w:r>
        <w:rPr>
          <w:sz w:val="24"/>
        </w:rPr>
        <w:t>Third, call qualified experts who understand systems, not just clerks who were present. A records clerk cannot explain replication lag, node synchronisation, or query logic. Under Section 43 of the Evidence Act, call a systems engineer who can audit the extraction logs and testify about whether the printout accurately represents the database state at the relevant time. A note on citations: it is Section 43, not Section 45. Section 45 is about handwriting opinions. The other side will check, so get it right.</w:t>
      </w:r>
    </w:p>
    <w:p/>
    <w:p>
      <w:r>
        <w:rPr>
          <w:sz w:val="24"/>
        </w:rPr>
        <w:t>Fourth, use comparative law as persuasive authority. Cite Canada to show that other jurisdictions require more than a bare hardware check. Cite India to show the global trend toward cryptographic verification of electronic evidence. Cite the Post Office Horizon scandal to show the real-world consequences of getting this wrong. None of these bind a Ugandan judge, but they demonstrate that the gap you are arguing about is recognised and addressed elsewhere.</w:t>
      </w:r>
    </w:p>
    <w:p/>
    <w:p>
      <w:r>
        <w:rPr>
          <w:sz w:val="24"/>
        </w:rPr>
        <w:t>Fifth, make the gap argument explicit in your submissions. The ETA is silent on distributed database architecture not because it made a deliberate policy choice, but because it predates the technology. That is a gap, not a drafting error. And gaps in statutes are filled by common law development through cases like Amongin. Every cross-examination that probes database architecture is not just winning your case. It is developing the law for everyone who comes after you.</w:t>
      </w:r>
    </w:p>
    <w:p/>
    <w:p>
      <w:r>
        <w:rPr>
          <w:sz w:val="24"/>
        </w:rPr>
        <w:t>The ETA did not get it wrong. It simply could not have anticipated a world where the answer to the question what is the database state right now is it depends on which node you ask.</w:t>
      </w:r>
    </w:p>
    <w:p/>
    <w:p>
      <w:r>
        <w:rPr>
          <w:sz w:val="24"/>
        </w:rPr>
        <w:t>A paper printout is not a transparent window into a digital system. It is a static photograph of a dynamic state, taken through a lens the operator chose, showing only what the query decided to capture. Treating it as anything more is an illusion held in place by habit.</w:t>
      </w:r>
    </w:p>
    <w:p/>
    <w:p>
      <w:r>
        <w:rPr>
          <w:sz w:val="24"/>
        </w:rPr>
        <w:t>The habit is breaking. Make sure you are on the right side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