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22D8B" w:rsidRDefault="00C22D8B"/>
    <w:p w:rsidR="00762A34" w:rsidRDefault="00762A34"/>
    <w:p w:rsidR="00762A34" w:rsidRDefault="00762A34"/>
    <w:p w:rsidR="00762A34" w:rsidRDefault="00762A34"/>
    <w:p w:rsidR="00762A34" w:rsidRDefault="00762A34"/>
    <w:p w:rsidR="00762A34" w:rsidRDefault="00762A34"/>
    <w:p w:rsidR="00762A34" w:rsidRDefault="00762A34"/>
    <w:p w:rsidR="00762A34" w:rsidRDefault="00762A34"/>
    <w:p w:rsidR="00762A34" w:rsidRDefault="00762A34"/>
    <w:p w:rsidR="00762A34" w:rsidRDefault="00762A34"/>
    <w:p w:rsidR="00C22D8B" w:rsidRDefault="00762A34">
      <w:pPr>
        <w:jc w:val="center"/>
      </w:pPr>
      <w:r>
        <w:rPr>
          <w:b/>
          <w:sz w:val="40"/>
        </w:rPr>
        <w:t xml:space="preserve"> </w:t>
      </w:r>
    </w:p>
    <w:p w:rsidR="00C22D8B" w:rsidRDefault="00762A34">
      <w:pPr>
        <w:jc w:val="center"/>
      </w:pPr>
      <w:r>
        <w:rPr>
          <w:b/>
          <w:sz w:val="40"/>
        </w:rPr>
        <w:t>Architektur- und Design</w:t>
      </w:r>
    </w:p>
    <w:p w:rsidR="00C22D8B" w:rsidRDefault="00762A34">
      <w:pPr>
        <w:jc w:val="center"/>
      </w:pPr>
      <w:r>
        <w:rPr>
          <w:b/>
          <w:sz w:val="36"/>
        </w:rPr>
        <w:t>2013-06-14</w:t>
      </w:r>
    </w:p>
    <w:p w:rsidR="00C22D8B" w:rsidRDefault="00762A34">
      <w:pPr>
        <w:jc w:val="center"/>
      </w:pPr>
      <w:r>
        <w:rPr>
          <w:b/>
          <w:sz w:val="24"/>
        </w:rPr>
        <w:t>Projekt “Wartelistenverwaltung planbarer Operationen”</w:t>
      </w:r>
    </w:p>
    <w:p w:rsidR="00C22D8B" w:rsidRDefault="00762A34">
      <w:pPr>
        <w:jc w:val="center"/>
      </w:pPr>
      <w:r>
        <w:rPr>
          <w:b/>
        </w:rPr>
        <w:t>Autoren: Taylor Peer, Michael Wagner, David Stöckl</w:t>
      </w:r>
    </w:p>
    <w:p w:rsidR="00C22D8B" w:rsidRDefault="00762A34">
      <w:pPr>
        <w:jc w:val="center"/>
      </w:pPr>
      <w:r>
        <w:rPr>
          <w:b/>
        </w:rPr>
        <w:t>Version 1.0</w:t>
      </w:r>
    </w:p>
    <w:p w:rsidR="00C22D8B" w:rsidRDefault="00C22D8B"/>
    <w:p w:rsidR="00C22D8B" w:rsidRDefault="00C22D8B"/>
    <w:p w:rsidR="00762A34" w:rsidRDefault="00762A34">
      <w:pPr>
        <w:spacing w:after="200"/>
      </w:pPr>
      <w:r>
        <w:br w:type="page"/>
      </w:r>
    </w:p>
    <w:sdt>
      <w:sdtPr>
        <w:rPr>
          <w:lang w:val="de-DE"/>
        </w:rPr>
        <w:id w:val="-156917739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color w:val="000000"/>
          <w:sz w:val="22"/>
          <w:szCs w:val="22"/>
        </w:rPr>
      </w:sdtEndPr>
      <w:sdtContent>
        <w:p w:rsidR="00512005" w:rsidRDefault="00512005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512005" w:rsidRDefault="00512005">
          <w:pPr>
            <w:pStyle w:val="Verzeichnis1"/>
            <w:tabs>
              <w:tab w:val="right" w:leader="dot" w:pos="9350"/>
            </w:tabs>
          </w:pPr>
        </w:p>
        <w:p w:rsidR="00512005" w:rsidRDefault="00512005">
          <w:pPr>
            <w:pStyle w:val="Verzeichnis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9180368" w:history="1">
            <w:r w:rsidRPr="00073603">
              <w:rPr>
                <w:rStyle w:val="Hyperlink"/>
                <w:noProof/>
              </w:rPr>
              <w:t>1.1 Beschreibung der Komponenten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_Toc359180368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005" w:rsidRDefault="00512005">
          <w:pPr>
            <w:pStyle w:val="Verzeichnis1"/>
            <w:tabs>
              <w:tab w:val="right" w:leader="dot" w:pos="9350"/>
            </w:tabs>
            <w:rPr>
              <w:noProof/>
            </w:rPr>
          </w:pPr>
          <w:hyperlink w:anchor="_Toc359180369" w:history="1">
            <w:r w:rsidRPr="00073603">
              <w:rPr>
                <w:rStyle w:val="Hyperlink"/>
                <w:noProof/>
              </w:rPr>
              <w:t>1.2 Beschreibung der 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_Toc359180369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005" w:rsidRDefault="00512005">
          <w:pPr>
            <w:pStyle w:val="Verzeichnis1"/>
            <w:tabs>
              <w:tab w:val="right" w:leader="dot" w:pos="9350"/>
            </w:tabs>
            <w:rPr>
              <w:noProof/>
            </w:rPr>
          </w:pPr>
          <w:hyperlink w:anchor="_Toc359180370" w:history="1">
            <w:r w:rsidRPr="00073603">
              <w:rPr>
                <w:rStyle w:val="Hyperlink"/>
                <w:noProof/>
              </w:rPr>
              <w:t>1.3 Deployment of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_Toc359180370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005" w:rsidRDefault="00512005">
          <w:pPr>
            <w:pStyle w:val="Verzeichnis1"/>
            <w:tabs>
              <w:tab w:val="right" w:leader="dot" w:pos="9350"/>
            </w:tabs>
            <w:rPr>
              <w:noProof/>
            </w:rPr>
          </w:pPr>
          <w:hyperlink w:anchor="_Toc359180371" w:history="1">
            <w:r w:rsidRPr="00073603">
              <w:rPr>
                <w:rStyle w:val="Hyperlink"/>
                <w:noProof/>
              </w:rPr>
              <w:t>1.4 Logical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_Toc359180371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005" w:rsidRDefault="00512005">
          <w:r>
            <w:rPr>
              <w:b/>
              <w:bCs/>
              <w:lang w:val="de-DE"/>
            </w:rPr>
            <w:fldChar w:fldCharType="end"/>
          </w:r>
        </w:p>
      </w:sdtContent>
    </w:sdt>
    <w:p w:rsidR="00512005" w:rsidRDefault="00512005">
      <w:pPr>
        <w:spacing w:after="200"/>
      </w:pPr>
      <w:r>
        <w:br w:type="page"/>
      </w:r>
    </w:p>
    <w:p w:rsidR="00C22D8B" w:rsidRDefault="00C22D8B"/>
    <w:p w:rsidR="00C22D8B" w:rsidRDefault="00762A34">
      <w:bookmarkStart w:id="0" w:name="h.g5einbro5ncd" w:colFirst="0" w:colLast="0"/>
      <w:bookmarkStart w:id="1" w:name="_GoBack"/>
      <w:bookmarkEnd w:id="0"/>
      <w:bookmarkEnd w:id="1"/>
      <w:r>
        <w:t>Das folgende Dokument gibt Aufschluss über den technischen Aufbau der Applikation “Wartelistenverwaltung planbarer Operationen”.</w:t>
      </w:r>
    </w:p>
    <w:p w:rsidR="00C22D8B" w:rsidRDefault="00C22D8B"/>
    <w:p w:rsidR="00C22D8B" w:rsidRDefault="00762A34">
      <w:pPr>
        <w:pStyle w:val="berschrift1"/>
      </w:pPr>
      <w:bookmarkStart w:id="2" w:name="h.xspvy1hxc017" w:colFirst="0" w:colLast="0"/>
      <w:bookmarkStart w:id="3" w:name="_Toc359180368"/>
      <w:bookmarkEnd w:id="2"/>
      <w:r>
        <w:t>1.1 Beschreibung der Komponenten</w:t>
      </w:r>
      <w:bookmarkEnd w:id="3"/>
    </w:p>
    <w:p w:rsidR="00C22D8B" w:rsidRDefault="00C22D8B"/>
    <w:p w:rsidR="00C22D8B" w:rsidRDefault="00762A34">
      <w:proofErr w:type="gramStart"/>
      <w:r>
        <w:t>Die</w:t>
      </w:r>
      <w:proofErr w:type="gramEnd"/>
      <w:r>
        <w:t xml:space="preserve"> Aufbau der Applikation ist grundsätzlich wie folgt in Schichten aufzuteilen:</w:t>
      </w:r>
    </w:p>
    <w:p w:rsidR="00C22D8B" w:rsidRDefault="00C22D8B"/>
    <w:p w:rsidR="00C22D8B" w:rsidRDefault="00762A34">
      <w:r>
        <w:rPr>
          <w:b/>
        </w:rPr>
        <w:t>Daten-Layer</w:t>
      </w:r>
    </w:p>
    <w:p w:rsidR="00C22D8B" w:rsidRDefault="00762A34">
      <w:r>
        <w:t xml:space="preserve">Die Datenbank als unterste Schicht der Applikation ist ein klar abgetrennter Bereich, auf den die </w:t>
      </w:r>
      <w:proofErr w:type="gramStart"/>
      <w:r>
        <w:t>Objekt</w:t>
      </w:r>
      <w:proofErr w:type="gramEnd"/>
      <w:r>
        <w:t xml:space="preserve"> des Business </w:t>
      </w:r>
      <w:proofErr w:type="spellStart"/>
      <w:r>
        <w:t>Layers</w:t>
      </w:r>
      <w:proofErr w:type="spellEnd"/>
      <w:r>
        <w:t xml:space="preserve"> ausschließlich über DAOs (Data Access Objects) zugreifen. Diese Datenbank ist allein für die sämtliche Datenhaltung der Applikation zuständig. Konkret wurde </w:t>
      </w:r>
      <w:proofErr w:type="spellStart"/>
      <w:r>
        <w:t>MongoDB</w:t>
      </w:r>
      <w:proofErr w:type="spellEnd"/>
      <w:r>
        <w:t xml:space="preserve"> eingesetzt, um die dort integrierte GEO-Suche nutzen zu können (=Anforderung der Applikation).</w:t>
      </w:r>
    </w:p>
    <w:p w:rsidR="00C22D8B" w:rsidRDefault="00C22D8B"/>
    <w:p w:rsidR="00C22D8B" w:rsidRDefault="00762A34">
      <w:r>
        <w:rPr>
          <w:b/>
        </w:rPr>
        <w:t>Domain-Layer</w:t>
      </w:r>
    </w:p>
    <w:p w:rsidR="00C22D8B" w:rsidRDefault="00762A34">
      <w:r>
        <w:t>Der Domain Layer ist eine abgetrennte Schicht in der ausschließlich die Domain-Objekte definiert sind. Die Domain-Objekte und nur diese werden über den Aufruf von DAO-Methoden in die Datenbank gespeichert bzw. aus der Datenbank ausgelesen. Die DAOs und deren konkrete Implementierung werden jedoch im Domain-Layer verwaltet, da jede Komponente des Domain-</w:t>
      </w:r>
      <w:proofErr w:type="spellStart"/>
      <w:r>
        <w:t>Layers</w:t>
      </w:r>
      <w:proofErr w:type="spellEnd"/>
      <w:r>
        <w:t xml:space="preserve"> eigene Methoden hat.</w:t>
      </w:r>
    </w:p>
    <w:p w:rsidR="00C22D8B" w:rsidRDefault="00C22D8B"/>
    <w:p w:rsidR="00C22D8B" w:rsidRDefault="00762A34">
      <w:proofErr w:type="spellStart"/>
      <w:r>
        <w:rPr>
          <w:b/>
        </w:rPr>
        <w:t>Application</w:t>
      </w:r>
      <w:proofErr w:type="spellEnd"/>
      <w:r>
        <w:rPr>
          <w:b/>
        </w:rPr>
        <w:t>-Layer</w:t>
      </w:r>
    </w:p>
    <w:p w:rsidR="00C22D8B" w:rsidRDefault="00762A34">
      <w:r>
        <w:t xml:space="preserve">Der </w:t>
      </w:r>
      <w:proofErr w:type="spellStart"/>
      <w:r>
        <w:t>Application</w:t>
      </w:r>
      <w:proofErr w:type="spellEnd"/>
      <w:r>
        <w:t xml:space="preserve"> Layer selbst ist grundsätzlich in 3 Komponenten unterteilt (die jeweils eine eigene DAO Implementierung für den Zugriff auf den Datenbestand haben):</w:t>
      </w:r>
    </w:p>
    <w:p w:rsidR="00C22D8B" w:rsidRDefault="00C22D8B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5"/>
        <w:gridCol w:w="6945"/>
      </w:tblGrid>
      <w:tr w:rsidR="00C22D8B"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D8B" w:rsidRDefault="00762A34">
            <w:pPr>
              <w:spacing w:line="240" w:lineRule="auto"/>
            </w:pPr>
            <w:r>
              <w:t>UI-Komponente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D8B" w:rsidRDefault="00762A34">
            <w:pPr>
              <w:spacing w:line="240" w:lineRule="auto"/>
            </w:pPr>
            <w:r>
              <w:t>Diese Komponente erfüllt folgende Aufgaben:</w:t>
            </w:r>
          </w:p>
          <w:p w:rsidR="00C22D8B" w:rsidRDefault="00762A34">
            <w:pPr>
              <w:numPr>
                <w:ilvl w:val="0"/>
                <w:numId w:val="3"/>
              </w:numPr>
              <w:spacing w:line="240" w:lineRule="auto"/>
              <w:ind w:hanging="359"/>
            </w:pPr>
            <w:r>
              <w:t>REST-Schnittstelle/Kapselung nach “außen” ins öffentliche Web: Request-Handling &amp; Mapping</w:t>
            </w:r>
          </w:p>
          <w:p w:rsidR="00C22D8B" w:rsidRDefault="00762A34">
            <w:pPr>
              <w:numPr>
                <w:ilvl w:val="0"/>
                <w:numId w:val="3"/>
              </w:numPr>
              <w:spacing w:line="240" w:lineRule="auto"/>
              <w:ind w:hanging="359"/>
            </w:pPr>
            <w:r>
              <w:t>Request-Processing &amp; Views Generierung: Generiert je nach Aufruf die korrekte Seite und die entsprechende View (JSP)</w:t>
            </w:r>
          </w:p>
          <w:p w:rsidR="00C22D8B" w:rsidRDefault="00762A34">
            <w:pPr>
              <w:numPr>
                <w:ilvl w:val="0"/>
                <w:numId w:val="3"/>
              </w:numPr>
              <w:spacing w:line="240" w:lineRule="auto"/>
              <w:ind w:hanging="359"/>
            </w:pPr>
            <w:proofErr w:type="spellStart"/>
            <w:r>
              <w:t>Notifications</w:t>
            </w:r>
            <w:proofErr w:type="spellEnd"/>
            <w:r>
              <w:t xml:space="preserve">-API (JSON): Liest </w:t>
            </w:r>
            <w:proofErr w:type="spellStart"/>
            <w:r>
              <w:t>Notifications</w:t>
            </w:r>
            <w:proofErr w:type="spellEnd"/>
            <w:r>
              <w:t xml:space="preserve"> für eingeloggte Clients aus der DB aus und stellt diese als JSON zur Verfügung</w:t>
            </w:r>
          </w:p>
          <w:p w:rsidR="00C22D8B" w:rsidRDefault="00762A34">
            <w:pPr>
              <w:numPr>
                <w:ilvl w:val="0"/>
                <w:numId w:val="3"/>
              </w:numPr>
              <w:spacing w:line="240" w:lineRule="auto"/>
              <w:ind w:hanging="359"/>
            </w:pPr>
            <w:r>
              <w:t xml:space="preserve">Weiterleitung von Reservierungsanfragen an die </w:t>
            </w:r>
            <w:proofErr w:type="spellStart"/>
            <w:r>
              <w:t>Allocator</w:t>
            </w:r>
            <w:proofErr w:type="spellEnd"/>
            <w:r>
              <w:t xml:space="preserve"> Komponente(n) (</w:t>
            </w:r>
            <w:proofErr w:type="spellStart"/>
            <w:r>
              <w:t>RabbitMQ</w:t>
            </w:r>
            <w:proofErr w:type="spellEnd"/>
            <w:r>
              <w:t>)</w:t>
            </w:r>
          </w:p>
          <w:p w:rsidR="00C22D8B" w:rsidRDefault="00762A34">
            <w:pPr>
              <w:numPr>
                <w:ilvl w:val="0"/>
                <w:numId w:val="3"/>
              </w:numPr>
              <w:spacing w:line="240" w:lineRule="auto"/>
              <w:ind w:hanging="359"/>
            </w:pPr>
            <w:r>
              <w:t>Verarbeitung / Speicherung administrativer Daten</w:t>
            </w:r>
          </w:p>
        </w:tc>
      </w:tr>
      <w:tr w:rsidR="00C22D8B"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D8B" w:rsidRDefault="00762A34">
            <w:pPr>
              <w:spacing w:line="240" w:lineRule="auto"/>
            </w:pPr>
            <w:proofErr w:type="spellStart"/>
            <w:r>
              <w:t>Allocator</w:t>
            </w:r>
            <w:proofErr w:type="spellEnd"/>
            <w:r>
              <w:t>-Komponente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D8B" w:rsidRDefault="00762A34">
            <w:pPr>
              <w:numPr>
                <w:ilvl w:val="0"/>
                <w:numId w:val="1"/>
              </w:numPr>
              <w:spacing w:line="240" w:lineRule="auto"/>
              <w:ind w:hanging="359"/>
            </w:pPr>
            <w:r>
              <w:t xml:space="preserve">Diese Komponente ist für den speziell aufwändigen Teil der Reservierungsfindung zuständig. </w:t>
            </w:r>
          </w:p>
          <w:p w:rsidR="00C22D8B" w:rsidRDefault="00762A34">
            <w:pPr>
              <w:numPr>
                <w:ilvl w:val="0"/>
                <w:numId w:val="1"/>
              </w:numPr>
              <w:spacing w:line="240" w:lineRule="auto"/>
              <w:ind w:hanging="359"/>
            </w:pPr>
            <w:r>
              <w:t xml:space="preserve">Da </w:t>
            </w:r>
            <w:proofErr w:type="gramStart"/>
            <w:r>
              <w:t>ein Ausfälle</w:t>
            </w:r>
            <w:proofErr w:type="gramEnd"/>
            <w:r>
              <w:t xml:space="preserve"> der Komponente denkbar sind, wird diese Komponente auf zwei logisch unabhängigen Servern ausgeführt, so dass im Falle eines Ausfalls Reservierungsanfragen weiterhin bearbeitet werden können. </w:t>
            </w:r>
          </w:p>
          <w:p w:rsidR="00C22D8B" w:rsidRDefault="00762A34">
            <w:pPr>
              <w:numPr>
                <w:ilvl w:val="0"/>
                <w:numId w:val="1"/>
              </w:numPr>
              <w:spacing w:line="240" w:lineRule="auto"/>
              <w:ind w:hanging="359"/>
            </w:pPr>
            <w:r>
              <w:t>Außerdem leitet diese Komponente Erfolgs/Misserfolgs-</w:t>
            </w:r>
            <w:r>
              <w:lastRenderedPageBreak/>
              <w:t>Nachrichten an die Messenger-Komponente weiter.</w:t>
            </w:r>
          </w:p>
        </w:tc>
      </w:tr>
      <w:tr w:rsidR="00C22D8B"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D8B" w:rsidRDefault="00762A34">
            <w:pPr>
              <w:spacing w:line="240" w:lineRule="auto"/>
            </w:pPr>
            <w:r>
              <w:lastRenderedPageBreak/>
              <w:t>Messenger-Komponente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D8B" w:rsidRDefault="00762A34">
            <w:pPr>
              <w:spacing w:line="240" w:lineRule="auto"/>
            </w:pPr>
            <w:r>
              <w:t xml:space="preserve">Diese Komponente ist für die Generierung Benutzer-spezifischer Nachrichten und deren </w:t>
            </w:r>
            <w:proofErr w:type="spellStart"/>
            <w:r>
              <w:t>Persistierung</w:t>
            </w:r>
            <w:proofErr w:type="spellEnd"/>
            <w:r>
              <w:t xml:space="preserve"> in der Datenbank zuständig. Sie wird ausschließlich vom </w:t>
            </w:r>
            <w:proofErr w:type="spellStart"/>
            <w:r>
              <w:t>Allocator</w:t>
            </w:r>
            <w:proofErr w:type="spellEnd"/>
            <w:r>
              <w:t xml:space="preserve"> mittels Messaging (</w:t>
            </w:r>
            <w:proofErr w:type="spellStart"/>
            <w:r>
              <w:t>RabbitMQ</w:t>
            </w:r>
            <w:proofErr w:type="spellEnd"/>
            <w:r>
              <w:t>) angesprochen.</w:t>
            </w:r>
          </w:p>
        </w:tc>
      </w:tr>
    </w:tbl>
    <w:p w:rsidR="00C22D8B" w:rsidRDefault="00C22D8B"/>
    <w:p w:rsidR="00C22D8B" w:rsidRDefault="00C22D8B"/>
    <w:p w:rsidR="00C22D8B" w:rsidRDefault="00762A34">
      <w:r>
        <w:rPr>
          <w:b/>
        </w:rPr>
        <w:t>View Layer</w:t>
      </w:r>
    </w:p>
    <w:p w:rsidR="00C22D8B" w:rsidRDefault="00762A34">
      <w:r>
        <w:t xml:space="preserve">Die UI-Komponente des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ist gleichzeitig für die Generierung der korrekten Views (HTML</w:t>
      </w:r>
      <w:proofErr w:type="gramStart"/>
      <w:r>
        <w:t>,CSS</w:t>
      </w:r>
      <w:proofErr w:type="gramEnd"/>
      <w:r>
        <w:t>) für das Web zuständig. Dieser Teil der UI-Komponente entspricht dem View Layer.</w:t>
      </w:r>
    </w:p>
    <w:p w:rsidR="00C22D8B" w:rsidRDefault="00C22D8B"/>
    <w:p w:rsidR="00C22D8B" w:rsidRDefault="00C22D8B"/>
    <w:p w:rsidR="00C22D8B" w:rsidRDefault="00762A34">
      <w:pPr>
        <w:pStyle w:val="berschrift1"/>
      </w:pPr>
      <w:bookmarkStart w:id="4" w:name="h.drgc20gsu0cr" w:colFirst="0" w:colLast="0"/>
      <w:bookmarkStart w:id="5" w:name="_Toc359180369"/>
      <w:bookmarkEnd w:id="4"/>
      <w:r>
        <w:t>1.2 Beschreibung der Schnittstellen</w:t>
      </w:r>
      <w:bookmarkEnd w:id="5"/>
    </w:p>
    <w:p w:rsidR="00C22D8B" w:rsidRDefault="00C22D8B"/>
    <w:p w:rsidR="00C22D8B" w:rsidRPr="00B130F8" w:rsidRDefault="00B130F8">
      <w:pPr>
        <w:rPr>
          <w:b/>
        </w:rPr>
      </w:pPr>
      <w:r>
        <w:rPr>
          <w:b/>
        </w:rPr>
        <w:t>Wichtig: Für eine genauere Beschreibung der UI-Schnittstelle siehe das beiliegende Dokument HTTP-API.</w:t>
      </w:r>
    </w:p>
    <w:p w:rsidR="00B130F8" w:rsidRDefault="00B130F8"/>
    <w:p w:rsidR="00C22D8B" w:rsidRDefault="00762A34">
      <w:pPr>
        <w:numPr>
          <w:ilvl w:val="0"/>
          <w:numId w:val="2"/>
        </w:numPr>
        <w:ind w:hanging="359"/>
      </w:pPr>
      <w:r>
        <w:t>Datenbank</w:t>
      </w:r>
    </w:p>
    <w:p w:rsidR="00C22D8B" w:rsidRDefault="00762A34">
      <w:pPr>
        <w:numPr>
          <w:ilvl w:val="1"/>
          <w:numId w:val="2"/>
        </w:numPr>
        <w:ind w:hanging="359"/>
      </w:pPr>
      <w:r>
        <w:t xml:space="preserve">Schnittstelle für </w:t>
      </w:r>
      <w:proofErr w:type="spellStart"/>
      <w:r>
        <w:t>Application</w:t>
      </w:r>
      <w:proofErr w:type="spellEnd"/>
      <w:r>
        <w:t xml:space="preserve"> Layer</w:t>
      </w:r>
    </w:p>
    <w:p w:rsidR="00C22D8B" w:rsidRDefault="00762A34">
      <w:pPr>
        <w:numPr>
          <w:ilvl w:val="2"/>
          <w:numId w:val="2"/>
        </w:numPr>
        <w:ind w:hanging="359"/>
      </w:pPr>
      <w:r>
        <w:t>benötigt Domain Layer</w:t>
      </w:r>
    </w:p>
    <w:p w:rsidR="00C22D8B" w:rsidRDefault="00762A34">
      <w:pPr>
        <w:numPr>
          <w:ilvl w:val="2"/>
          <w:numId w:val="2"/>
        </w:numPr>
        <w:ind w:hanging="359"/>
      </w:pPr>
      <w:r>
        <w:t>Zugriff über DAOs als Design-Empfehlung</w:t>
      </w:r>
    </w:p>
    <w:p w:rsidR="00C22D8B" w:rsidRDefault="00762A34">
      <w:pPr>
        <w:numPr>
          <w:ilvl w:val="0"/>
          <w:numId w:val="2"/>
        </w:numPr>
        <w:ind w:hanging="359"/>
      </w:pPr>
      <w:r>
        <w:t xml:space="preserve">UI-Komponente: </w:t>
      </w:r>
    </w:p>
    <w:p w:rsidR="00C22D8B" w:rsidRDefault="00762A34">
      <w:pPr>
        <w:numPr>
          <w:ilvl w:val="1"/>
          <w:numId w:val="2"/>
        </w:numPr>
        <w:ind w:hanging="359"/>
      </w:pPr>
      <w:r>
        <w:t>Schnittstelle für Webclients (vor allem Browser)</w:t>
      </w:r>
    </w:p>
    <w:p w:rsidR="00C22D8B" w:rsidRDefault="00762A34">
      <w:pPr>
        <w:numPr>
          <w:ilvl w:val="2"/>
          <w:numId w:val="2"/>
        </w:numPr>
        <w:ind w:hanging="359"/>
      </w:pPr>
      <w:r>
        <w:t>für die Öffentlichkeit</w:t>
      </w:r>
    </w:p>
    <w:p w:rsidR="00C22D8B" w:rsidRDefault="00762A34">
      <w:pPr>
        <w:numPr>
          <w:ilvl w:val="3"/>
          <w:numId w:val="2"/>
        </w:numPr>
        <w:ind w:hanging="359"/>
      </w:pPr>
      <w:r>
        <w:t xml:space="preserve">OP-Slots + </w:t>
      </w:r>
      <w:proofErr w:type="spellStart"/>
      <w:r>
        <w:t>benutzerdef</w:t>
      </w:r>
      <w:proofErr w:type="spellEnd"/>
      <w:r>
        <w:t>. Suche</w:t>
      </w:r>
    </w:p>
    <w:p w:rsidR="00C22D8B" w:rsidRDefault="00762A34">
      <w:pPr>
        <w:numPr>
          <w:ilvl w:val="2"/>
          <w:numId w:val="2"/>
        </w:numPr>
        <w:ind w:hanging="359"/>
      </w:pPr>
      <w:r>
        <w:t>für Patienten</w:t>
      </w:r>
    </w:p>
    <w:p w:rsidR="00C22D8B" w:rsidRDefault="00762A34">
      <w:pPr>
        <w:numPr>
          <w:ilvl w:val="3"/>
          <w:numId w:val="2"/>
        </w:numPr>
        <w:ind w:hanging="359"/>
      </w:pPr>
      <w:r>
        <w:t xml:space="preserve">Persönliche OP-Slot Liste + </w:t>
      </w:r>
      <w:proofErr w:type="spellStart"/>
      <w:r>
        <w:t>benutzerdef</w:t>
      </w:r>
      <w:proofErr w:type="spellEnd"/>
      <w:r>
        <w:t>. Suche</w:t>
      </w:r>
    </w:p>
    <w:p w:rsidR="00C22D8B" w:rsidRDefault="00762A34">
      <w:pPr>
        <w:numPr>
          <w:ilvl w:val="2"/>
          <w:numId w:val="2"/>
        </w:numPr>
        <w:ind w:hanging="359"/>
      </w:pPr>
      <w:r>
        <w:t>für Doktoren</w:t>
      </w:r>
    </w:p>
    <w:p w:rsidR="00C22D8B" w:rsidRDefault="00762A34">
      <w:pPr>
        <w:numPr>
          <w:ilvl w:val="3"/>
          <w:numId w:val="2"/>
        </w:numPr>
        <w:ind w:hanging="359"/>
      </w:pPr>
      <w:r>
        <w:t>Persönliche OP-Slot Liste</w:t>
      </w:r>
    </w:p>
    <w:p w:rsidR="00C22D8B" w:rsidRDefault="00762A34">
      <w:pPr>
        <w:numPr>
          <w:ilvl w:val="3"/>
          <w:numId w:val="2"/>
        </w:numPr>
        <w:ind w:hanging="359"/>
      </w:pPr>
      <w:r>
        <w:t>Reservation-Request Interface</w:t>
      </w:r>
    </w:p>
    <w:p w:rsidR="00C22D8B" w:rsidRDefault="00762A34">
      <w:pPr>
        <w:numPr>
          <w:ilvl w:val="3"/>
          <w:numId w:val="2"/>
        </w:numPr>
        <w:ind w:hanging="359"/>
      </w:pPr>
      <w:r>
        <w:t>Liste aller Patienten</w:t>
      </w:r>
    </w:p>
    <w:p w:rsidR="00C22D8B" w:rsidRDefault="00762A34">
      <w:pPr>
        <w:numPr>
          <w:ilvl w:val="2"/>
          <w:numId w:val="2"/>
        </w:numPr>
        <w:ind w:hanging="359"/>
      </w:pPr>
      <w:r>
        <w:t>für Krankenhäuser</w:t>
      </w:r>
    </w:p>
    <w:p w:rsidR="00C22D8B" w:rsidRDefault="00762A34">
      <w:pPr>
        <w:numPr>
          <w:ilvl w:val="3"/>
          <w:numId w:val="2"/>
        </w:numPr>
        <w:ind w:hanging="359"/>
      </w:pPr>
      <w:r>
        <w:t xml:space="preserve">Liste der OP-Slots des Krankenhauses + </w:t>
      </w:r>
      <w:proofErr w:type="spellStart"/>
      <w:r>
        <w:t>benutzerdef</w:t>
      </w:r>
      <w:proofErr w:type="spellEnd"/>
      <w:r>
        <w:t>. Suche</w:t>
      </w:r>
    </w:p>
    <w:p w:rsidR="00C22D8B" w:rsidRDefault="00762A34">
      <w:pPr>
        <w:numPr>
          <w:ilvl w:val="2"/>
          <w:numId w:val="2"/>
        </w:numPr>
        <w:ind w:hanging="359"/>
      </w:pPr>
      <w:r>
        <w:t>für Administratoren</w:t>
      </w:r>
    </w:p>
    <w:p w:rsidR="00C22D8B" w:rsidRDefault="00762A34">
      <w:pPr>
        <w:numPr>
          <w:ilvl w:val="3"/>
          <w:numId w:val="2"/>
        </w:numPr>
        <w:ind w:hanging="359"/>
      </w:pPr>
      <w:r>
        <w:t>Anlegen von Doktoren, Patienten und Krankenhäusern und deren jeweilige Anzeige</w:t>
      </w:r>
    </w:p>
    <w:p w:rsidR="00C22D8B" w:rsidRDefault="00762A34">
      <w:pPr>
        <w:numPr>
          <w:ilvl w:val="1"/>
          <w:numId w:val="2"/>
        </w:numPr>
        <w:ind w:hanging="359"/>
      </w:pPr>
      <w:r>
        <w:t xml:space="preserve">Schnittstelle für </w:t>
      </w:r>
      <w:proofErr w:type="spellStart"/>
      <w:r>
        <w:t>Notifications</w:t>
      </w:r>
      <w:proofErr w:type="spellEnd"/>
      <w:r>
        <w:t xml:space="preserve"> zur Client-spezifischen Verwertung (JSON-Schnittstelle)</w:t>
      </w:r>
    </w:p>
    <w:p w:rsidR="00C22D8B" w:rsidRDefault="00762A34">
      <w:pPr>
        <w:numPr>
          <w:ilvl w:val="0"/>
          <w:numId w:val="2"/>
        </w:numPr>
        <w:ind w:hanging="359"/>
      </w:pPr>
      <w:proofErr w:type="spellStart"/>
      <w:r>
        <w:t>Allocator</w:t>
      </w:r>
      <w:proofErr w:type="spellEnd"/>
      <w:r>
        <w:t>-Komponente</w:t>
      </w:r>
    </w:p>
    <w:p w:rsidR="00C22D8B" w:rsidRDefault="00762A34">
      <w:pPr>
        <w:numPr>
          <w:ilvl w:val="1"/>
          <w:numId w:val="2"/>
        </w:numPr>
        <w:ind w:hanging="359"/>
      </w:pPr>
      <w:r>
        <w:t>definierte Schnittstelle für Reservierungsanfragen</w:t>
      </w:r>
    </w:p>
    <w:p w:rsidR="00C22D8B" w:rsidRDefault="00762A34">
      <w:pPr>
        <w:numPr>
          <w:ilvl w:val="0"/>
          <w:numId w:val="2"/>
        </w:numPr>
        <w:ind w:hanging="359"/>
      </w:pPr>
      <w:r>
        <w:t>Messenger-Komponente</w:t>
      </w:r>
    </w:p>
    <w:p w:rsidR="00C22D8B" w:rsidRDefault="00762A34">
      <w:pPr>
        <w:numPr>
          <w:ilvl w:val="1"/>
          <w:numId w:val="2"/>
        </w:numPr>
        <w:ind w:hanging="359"/>
      </w:pPr>
      <w:r>
        <w:lastRenderedPageBreak/>
        <w:t xml:space="preserve">definierte Schnittstelle für </w:t>
      </w:r>
      <w:proofErr w:type="spellStart"/>
      <w:r>
        <w:t>Notification-Requests</w:t>
      </w:r>
      <w:proofErr w:type="spellEnd"/>
    </w:p>
    <w:p w:rsidR="00C22D8B" w:rsidRDefault="00C22D8B"/>
    <w:p w:rsidR="00C22D8B" w:rsidRDefault="00C22D8B"/>
    <w:p w:rsidR="00C22D8B" w:rsidRDefault="00762A34">
      <w:r>
        <w:rPr>
          <w:color w:val="38761D"/>
        </w:rPr>
        <w:t xml:space="preserve">Hinweis: </w:t>
      </w:r>
      <w:r>
        <w:t>Für eine genauere Definition der Schnittstellen ist das Dokument “HTTP-API” heranzuziehen.</w:t>
      </w:r>
    </w:p>
    <w:p w:rsidR="00C22D8B" w:rsidRDefault="00C22D8B"/>
    <w:p w:rsidR="00C22D8B" w:rsidRDefault="00762A34">
      <w:pPr>
        <w:pStyle w:val="berschrift1"/>
      </w:pPr>
      <w:bookmarkStart w:id="6" w:name="h.85bzahn9by6d" w:colFirst="0" w:colLast="0"/>
      <w:bookmarkStart w:id="7" w:name="_Toc359180370"/>
      <w:bookmarkEnd w:id="6"/>
      <w:r>
        <w:t xml:space="preserve">1.3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bookmarkEnd w:id="7"/>
      <w:proofErr w:type="spellEnd"/>
    </w:p>
    <w:p w:rsidR="00C22D8B" w:rsidRDefault="00762A34">
      <w:proofErr w:type="gramStart"/>
      <w:r>
        <w:t>Das</w:t>
      </w:r>
      <w:proofErr w:type="gramEnd"/>
      <w:r>
        <w:t xml:space="preserve"> folgende </w:t>
      </w:r>
      <w:proofErr w:type="spellStart"/>
      <w:r>
        <w:t>Deployment-Diagram</w:t>
      </w:r>
      <w:proofErr w:type="spellEnd"/>
      <w:r>
        <w:t xml:space="preserve"> zeigt wie das </w:t>
      </w:r>
      <w:proofErr w:type="spellStart"/>
      <w:r>
        <w:t>Deployment</w:t>
      </w:r>
      <w:proofErr w:type="spellEnd"/>
      <w:r>
        <w:t xml:space="preserve"> funktioniert und  wie die einzelnen Komponenten der Applikation getrennt gezeigt werden können (</w:t>
      </w:r>
      <w:proofErr w:type="spellStart"/>
      <w:r>
        <w:t>Deployment-Diagram</w:t>
      </w:r>
      <w:proofErr w:type="spellEnd"/>
      <w:r>
        <w:t>).</w:t>
      </w:r>
    </w:p>
    <w:p w:rsidR="00512005" w:rsidRDefault="00512005"/>
    <w:p w:rsidR="00512005" w:rsidRDefault="00512005"/>
    <w:p w:rsidR="00C22D8B" w:rsidRDefault="00512005">
      <w:r>
        <w:rPr>
          <w:noProof/>
        </w:rPr>
        <w:drawing>
          <wp:anchor distT="0" distB="0" distL="114300" distR="114300" simplePos="0" relativeHeight="251664384" behindDoc="1" locked="0" layoutInCell="1" allowOverlap="1" wp14:anchorId="4F38453D" wp14:editId="3CC52388">
            <wp:simplePos x="0" y="0"/>
            <wp:positionH relativeFrom="column">
              <wp:posOffset>-590550</wp:posOffset>
            </wp:positionH>
            <wp:positionV relativeFrom="paragraph">
              <wp:posOffset>160655</wp:posOffset>
            </wp:positionV>
            <wp:extent cx="7043420" cy="4695825"/>
            <wp:effectExtent l="0" t="0" r="5080" b="9525"/>
            <wp:wrapTight wrapText="bothSides">
              <wp:wrapPolygon edited="0">
                <wp:start x="0" y="0"/>
                <wp:lineTo x="0" y="21556"/>
                <wp:lineTo x="21557" y="21556"/>
                <wp:lineTo x="21557" y="0"/>
                <wp:lineTo x="0" y="0"/>
              </wp:wrapPolygon>
            </wp:wrapTight>
            <wp:docPr id="5" name="Grafik 5" descr="E:\git_archive\dsys_2013\dse_docs\hhxsnr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_archive\dsys_2013\dse_docs\hhxsnrt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342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2D8B" w:rsidRDefault="00762A34">
      <w:r>
        <w:t>Hierbei gilt:</w:t>
      </w:r>
    </w:p>
    <w:p w:rsidR="00C22D8B" w:rsidRDefault="00762A34">
      <w:r>
        <w:t>gestrichelte Pfeile … Abhängigkeiten (bei der Datenbank auch Datenverkehr)</w:t>
      </w:r>
    </w:p>
    <w:p w:rsidR="00C22D8B" w:rsidRDefault="00762A34">
      <w:r>
        <w:t>durchgehende Pfeile … Kommunikation (Messaging)</w:t>
      </w:r>
    </w:p>
    <w:p w:rsidR="00C22D8B" w:rsidRDefault="00762A34">
      <w:r>
        <w:t>normale Verbindung … REST-Anfragen / Datenverkehr</w:t>
      </w:r>
    </w:p>
    <w:p w:rsidR="00C22D8B" w:rsidRDefault="00C22D8B"/>
    <w:p w:rsidR="00C22D8B" w:rsidRDefault="00C22D8B"/>
    <w:p w:rsidR="00C22D8B" w:rsidRDefault="00C22D8B"/>
    <w:p w:rsidR="00762A34" w:rsidRDefault="00762A34"/>
    <w:p w:rsidR="00C22D8B" w:rsidRDefault="00762A34">
      <w:pPr>
        <w:pStyle w:val="berschrift1"/>
      </w:pPr>
      <w:bookmarkStart w:id="8" w:name="h.46op11xgut4k" w:colFirst="0" w:colLast="0"/>
      <w:bookmarkStart w:id="9" w:name="_Toc359180371"/>
      <w:bookmarkEnd w:id="8"/>
      <w:r>
        <w:t>1.4 Logical View</w:t>
      </w:r>
      <w:bookmarkEnd w:id="9"/>
    </w:p>
    <w:p w:rsidR="00C22D8B" w:rsidRDefault="00C22D8B"/>
    <w:p w:rsidR="00C22D8B" w:rsidRDefault="00762A34">
      <w:r>
        <w:t xml:space="preserve">Das folgende Class-Diagramm zeigt den Aufbau des Domain Models, das sowohl die Basis für die Speicherung in den Aufbau der Datenbank als auch die Grundlage für die Funktionalität des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ist.</w:t>
      </w:r>
    </w:p>
    <w:p w:rsidR="00C22D8B" w:rsidRDefault="00512005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-742950</wp:posOffset>
            </wp:positionH>
            <wp:positionV relativeFrom="paragraph">
              <wp:posOffset>-685800</wp:posOffset>
            </wp:positionV>
            <wp:extent cx="7455535" cy="9334500"/>
            <wp:effectExtent l="0" t="0" r="0" b="0"/>
            <wp:wrapTight wrapText="bothSides">
              <wp:wrapPolygon edited="0">
                <wp:start x="0" y="0"/>
                <wp:lineTo x="0" y="21556"/>
                <wp:lineTo x="21525" y="21556"/>
                <wp:lineTo x="21525" y="0"/>
                <wp:lineTo x="0" y="0"/>
              </wp:wrapPolygon>
            </wp:wrapTight>
            <wp:docPr id="4" name="Grafik 4" descr="E:\git_archive\dsys_2013\dse_docs\Class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_archive\dsys_2013\dse_docs\Class_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5535" cy="933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2D8B" w:rsidRDefault="00C22D8B"/>
    <w:p w:rsidR="00C22D8B" w:rsidRDefault="00762A34">
      <w:r>
        <w:t>Das folgende Sequenz-Diagramm zeigt den Ablauf für das Eintragen und Auslesen von Reservierungen.</w:t>
      </w:r>
    </w:p>
    <w:p w:rsidR="00C22D8B" w:rsidRDefault="00C84E20">
      <w:r>
        <w:rPr>
          <w:noProof/>
        </w:rPr>
        <w:drawing>
          <wp:anchor distT="0" distB="0" distL="114300" distR="114300" simplePos="0" relativeHeight="251661312" behindDoc="1" locked="0" layoutInCell="1" allowOverlap="1" wp14:anchorId="51188794" wp14:editId="3516281C">
            <wp:simplePos x="0" y="0"/>
            <wp:positionH relativeFrom="column">
              <wp:posOffset>-847725</wp:posOffset>
            </wp:positionH>
            <wp:positionV relativeFrom="paragraph">
              <wp:posOffset>293370</wp:posOffset>
            </wp:positionV>
            <wp:extent cx="7677150" cy="5705475"/>
            <wp:effectExtent l="0" t="0" r="0" b="9525"/>
            <wp:wrapTight wrapText="bothSides">
              <wp:wrapPolygon edited="0">
                <wp:start x="0" y="0"/>
                <wp:lineTo x="0" y="21564"/>
                <wp:lineTo x="21546" y="21564"/>
                <wp:lineTo x="21546" y="0"/>
                <wp:lineTo x="0" y="0"/>
              </wp:wrapPolygon>
            </wp:wrapTight>
            <wp:docPr id="3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2D8B" w:rsidRDefault="00C22D8B"/>
    <w:p w:rsidR="00C22D8B" w:rsidRDefault="00C22D8B"/>
    <w:sectPr w:rsidR="00C22D8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C533D"/>
    <w:multiLevelType w:val="multilevel"/>
    <w:tmpl w:val="09CAD7C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498B2F3E"/>
    <w:multiLevelType w:val="multilevel"/>
    <w:tmpl w:val="1AD24FF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4D7A788A"/>
    <w:multiLevelType w:val="multilevel"/>
    <w:tmpl w:val="2EB0610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C22D8B"/>
    <w:rsid w:val="00512005"/>
    <w:rsid w:val="00762A34"/>
    <w:rsid w:val="00B130F8"/>
    <w:rsid w:val="00C22D8B"/>
    <w:rsid w:val="00C8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berschrift1">
    <w:name w:val="heading 1"/>
    <w:basedOn w:val="Standard"/>
    <w:next w:val="Standard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berschrift2">
    <w:name w:val="heading 2"/>
    <w:basedOn w:val="Standard"/>
    <w:next w:val="Standard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berschrift3">
    <w:name w:val="heading 3"/>
    <w:basedOn w:val="Standard"/>
    <w:next w:val="Standard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berschrift4">
    <w:name w:val="heading 4"/>
    <w:basedOn w:val="Standard"/>
    <w:next w:val="Standard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berschrift5">
    <w:name w:val="heading 5"/>
    <w:basedOn w:val="Standard"/>
    <w:next w:val="Standard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berschrift6">
    <w:name w:val="heading 6"/>
    <w:basedOn w:val="Standard"/>
    <w:next w:val="Standard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rPr>
      <w:rFonts w:ascii="Trebuchet MS" w:eastAsia="Trebuchet MS" w:hAnsi="Trebuchet MS" w:cs="Trebuchet MS"/>
      <w:sz w:val="42"/>
    </w:rPr>
  </w:style>
  <w:style w:type="paragraph" w:styleId="Untertitel">
    <w:name w:val="Subtitle"/>
    <w:basedOn w:val="Standard"/>
    <w:next w:val="Standard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2A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2A34"/>
    <w:rPr>
      <w:rFonts w:ascii="Tahoma" w:eastAsia="Arial" w:hAnsi="Tahoma" w:cs="Tahoma"/>
      <w:color w:val="000000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12005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51200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120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berschrift1">
    <w:name w:val="heading 1"/>
    <w:basedOn w:val="Standard"/>
    <w:next w:val="Standard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berschrift2">
    <w:name w:val="heading 2"/>
    <w:basedOn w:val="Standard"/>
    <w:next w:val="Standard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berschrift3">
    <w:name w:val="heading 3"/>
    <w:basedOn w:val="Standard"/>
    <w:next w:val="Standard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berschrift4">
    <w:name w:val="heading 4"/>
    <w:basedOn w:val="Standard"/>
    <w:next w:val="Standard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berschrift5">
    <w:name w:val="heading 5"/>
    <w:basedOn w:val="Standard"/>
    <w:next w:val="Standard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berschrift6">
    <w:name w:val="heading 6"/>
    <w:basedOn w:val="Standard"/>
    <w:next w:val="Standard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rPr>
      <w:rFonts w:ascii="Trebuchet MS" w:eastAsia="Trebuchet MS" w:hAnsi="Trebuchet MS" w:cs="Trebuchet MS"/>
      <w:sz w:val="42"/>
    </w:rPr>
  </w:style>
  <w:style w:type="paragraph" w:styleId="Untertitel">
    <w:name w:val="Subtitle"/>
    <w:basedOn w:val="Standard"/>
    <w:next w:val="Standard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2A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2A34"/>
    <w:rPr>
      <w:rFonts w:ascii="Tahoma" w:eastAsia="Arial" w:hAnsi="Tahoma" w:cs="Tahoma"/>
      <w:color w:val="000000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12005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51200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120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D971B-446A-4E3A-B696-043B36FAB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679</Words>
  <Characters>4278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DSE2013 Architektur- und Designdokument.docx</vt:lpstr>
    </vt:vector>
  </TitlesOfParts>
  <Company>BTF-RELOADED</Company>
  <LinksUpToDate>false</LinksUpToDate>
  <CharactersWithSpaces>4948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DSE2013 Architektur- und Designdokument.docx</dc:title>
  <dc:creator>Blackbam</dc:creator>
  <cp:lastModifiedBy>BTF-USER</cp:lastModifiedBy>
  <cp:revision>2</cp:revision>
  <dcterms:created xsi:type="dcterms:W3CDTF">2013-06-16T19:12:00Z</dcterms:created>
  <dcterms:modified xsi:type="dcterms:W3CDTF">2013-06-16T19:12:00Z</dcterms:modified>
</cp:coreProperties>
</file>