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="https://ajax.googleapis.com/ajax/libs/jquery/2.1.4/jquery.min.js"&gt;&lt;/</w:t>
      </w:r>
      <w:r>
        <w:rPr>
          <w:rFonts w:cs="Consolas" w:ascii="Consolas" w:hAnsi="Consolas"/>
          <w:color w:val="800000"/>
          <w:sz w:val="19"/>
          <w:szCs w:val="19"/>
        </w:rPr>
        <w:t>script</w:t>
      </w:r>
      <w:r>
        <w:rPr>
          <w:rFonts w:cs="Consolas" w:ascii="Consolas" w:hAnsi="Consolas"/>
          <w:color w:val="0000FF"/>
          <w:sz w:val="19"/>
          <w:szCs w:val="19"/>
        </w:rPr>
        <w:t>&gt;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="https://ajax.googleapis.com/ajax/libs/jqueryui/1.10.1/jquery-ui.min.js "&gt;&lt;/</w:t>
      </w:r>
      <w:r>
        <w:rPr>
          <w:rFonts w:cs="Consolas" w:ascii="Consolas" w:hAnsi="Consolas"/>
          <w:color w:val="800000"/>
          <w:sz w:val="19"/>
          <w:szCs w:val="19"/>
        </w:rPr>
        <w:t>script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="http://maxcdn.bootstrapcdn.com/bootstrap/3.3.6/js/bootstrap.min.js"&gt;&lt;/</w:t>
      </w:r>
      <w:r>
        <w:rPr>
          <w:rFonts w:cs="Consolas" w:ascii="Consolas" w:hAnsi="Consolas"/>
          <w:color w:val="800000"/>
          <w:sz w:val="19"/>
          <w:szCs w:val="19"/>
        </w:rPr>
        <w:t>script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="https://cdnjs.cloudflare.com/ajax/libs/bootstrap-select/1.10.0/js/bootstrap-select.min.js"&gt;&lt;/</w:t>
      </w:r>
      <w:r>
        <w:rPr>
          <w:rFonts w:cs="Consolas" w:ascii="Consolas" w:hAnsi="Consolas"/>
          <w:color w:val="800000"/>
          <w:sz w:val="19"/>
          <w:szCs w:val="19"/>
        </w:rPr>
        <w:t>script</w:t>
      </w:r>
      <w:r>
        <w:rPr>
          <w:rFonts w:cs="Consolas" w:ascii="Consolas" w:hAnsi="Consolas"/>
          <w:color w:val="0000FF"/>
          <w:sz w:val="19"/>
          <w:szCs w:val="19"/>
        </w:rPr>
        <w:t>&gt;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="https://cdnjs.cloudflare.com/ajax/libs/proj4js/2.3.14/proj4.js"&gt;&lt;/</w:t>
      </w:r>
      <w:r>
        <w:rPr>
          <w:rFonts w:cs="Consolas" w:ascii="Consolas" w:hAnsi="Consolas"/>
          <w:color w:val="800000"/>
          <w:sz w:val="19"/>
          <w:szCs w:val="19"/>
        </w:rPr>
        <w:t>script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type</w:t>
      </w:r>
      <w:r>
        <w:rPr>
          <w:rFonts w:cs="Consolas" w:ascii="Consolas" w:hAnsi="Consolas"/>
          <w:color w:val="0000FF"/>
          <w:sz w:val="19"/>
          <w:szCs w:val="19"/>
        </w:rPr>
        <w:t>="text/javascript"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="http://www.kunalbabre.com/projects/table2CSV.js"</w:t>
      </w:r>
      <w:r>
        <w:rPr>
          <w:rFonts w:cs="Consolas" w:ascii="Consolas" w:hAnsi="Consolas"/>
          <w:color w:val="000000"/>
          <w:sz w:val="19"/>
          <w:szCs w:val="19"/>
        </w:rPr>
        <w:t xml:space="preserve"> </w:t>
      </w:r>
      <w:r>
        <w:rPr>
          <w:rFonts w:cs="Consolas" w:ascii="Consolas" w:hAnsi="Consolas"/>
          <w:color w:val="0000FF"/>
          <w:sz w:val="19"/>
          <w:szCs w:val="19"/>
        </w:rPr>
        <w:t>&gt;</w:t>
      </w: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FF"/>
          <w:sz w:val="19"/>
          <w:szCs w:val="19"/>
        </w:rPr>
        <w:t>&gt;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808080"/>
          <w:sz w:val="19"/>
          <w:szCs w:val="19"/>
        </w:rPr>
        <w:t xml:space="preserve"> "scripts/bootstrap-table-expandable.js"</w:t>
      </w:r>
      <w:r>
        <w:rPr>
          <w:rFonts w:cs="Consolas" w:ascii="Consolas" w:hAnsi="Consolas"/>
          <w:color w:val="000000"/>
          <w:sz w:val="19"/>
          <w:szCs w:val="19"/>
        </w:rPr>
        <w:t xml:space="preserve"> %}</w:t>
      </w:r>
      <w:r>
        <w:rPr>
          <w:rFonts w:cs="Consolas" w:ascii="Consolas" w:hAnsi="Consolas"/>
          <w:color w:val="0000FF"/>
          <w:sz w:val="19"/>
          <w:szCs w:val="19"/>
        </w:rPr>
        <w:t>"&gt;&lt;/</w:t>
      </w:r>
      <w:r>
        <w:rPr>
          <w:rFonts w:cs="Consolas" w:ascii="Consolas" w:hAnsi="Consolas"/>
          <w:color w:val="800000"/>
          <w:sz w:val="19"/>
          <w:szCs w:val="19"/>
        </w:rPr>
        <w:t>script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808080"/>
          <w:sz w:val="19"/>
          <w:szCs w:val="19"/>
        </w:rPr>
        <w:t xml:space="preserve"> "scripts/CustomScripts.js"</w:t>
      </w:r>
      <w:r>
        <w:rPr>
          <w:rFonts w:cs="Consolas" w:ascii="Consolas" w:hAnsi="Consolas"/>
          <w:color w:val="000000"/>
          <w:sz w:val="19"/>
          <w:szCs w:val="19"/>
        </w:rPr>
        <w:t xml:space="preserve"> %}</w:t>
      </w:r>
      <w:r>
        <w:rPr>
          <w:rFonts w:cs="Consolas" w:ascii="Consolas" w:hAnsi="Consolas"/>
          <w:color w:val="0000FF"/>
          <w:sz w:val="19"/>
          <w:szCs w:val="19"/>
        </w:rPr>
        <w:t>"&gt;&lt;/</w:t>
      </w:r>
      <w:r>
        <w:rPr>
          <w:rFonts w:cs="Consolas" w:ascii="Consolas" w:hAnsi="Consolas"/>
          <w:color w:val="800000"/>
          <w:sz w:val="19"/>
          <w:szCs w:val="19"/>
        </w:rPr>
        <w:t>script</w:t>
      </w:r>
      <w:r>
        <w:rPr>
          <w:rFonts w:cs="Consolas" w:ascii="Consolas" w:hAnsi="Consolas"/>
          <w:color w:val="0000FF"/>
          <w:sz w:val="19"/>
          <w:szCs w:val="19"/>
        </w:rPr>
        <w:t>&gt;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808080"/>
          <w:sz w:val="19"/>
          <w:szCs w:val="19"/>
        </w:rPr>
        <w:t xml:space="preserve"> "scripts/preview.js"</w:t>
      </w:r>
      <w:r>
        <w:rPr>
          <w:rFonts w:cs="Consolas" w:ascii="Consolas" w:hAnsi="Consolas"/>
          <w:color w:val="000000"/>
          <w:sz w:val="19"/>
          <w:szCs w:val="19"/>
        </w:rPr>
        <w:t xml:space="preserve"> %}</w:t>
      </w:r>
      <w:r>
        <w:rPr>
          <w:rFonts w:cs="Consolas" w:ascii="Consolas" w:hAnsi="Consolas"/>
          <w:color w:val="0000FF"/>
          <w:sz w:val="19"/>
          <w:szCs w:val="19"/>
        </w:rPr>
        <w:t>"&gt;&lt;/</w:t>
      </w:r>
      <w:r>
        <w:rPr>
          <w:rFonts w:cs="Consolas" w:ascii="Consolas" w:hAnsi="Consolas"/>
          <w:color w:val="800000"/>
          <w:sz w:val="19"/>
          <w:szCs w:val="19"/>
        </w:rPr>
        <w:t>script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808080"/>
          <w:sz w:val="19"/>
          <w:szCs w:val="19"/>
        </w:rPr>
        <w:t xml:space="preserve"> "scripts/jszip.js"</w:t>
      </w:r>
      <w:r>
        <w:rPr>
          <w:rFonts w:cs="Consolas" w:ascii="Consolas" w:hAnsi="Consolas"/>
          <w:color w:val="000000"/>
          <w:sz w:val="19"/>
          <w:szCs w:val="19"/>
        </w:rPr>
        <w:t xml:space="preserve"> %}</w:t>
      </w:r>
      <w:r>
        <w:rPr>
          <w:rFonts w:cs="Consolas" w:ascii="Consolas" w:hAnsi="Consolas"/>
          <w:color w:val="0000FF"/>
          <w:sz w:val="19"/>
          <w:szCs w:val="19"/>
        </w:rPr>
        <w:t>"&gt;&lt;/</w:t>
      </w:r>
      <w:r>
        <w:rPr>
          <w:rFonts w:cs="Consolas" w:ascii="Consolas" w:hAnsi="Consolas"/>
          <w:color w:val="800000"/>
          <w:sz w:val="19"/>
          <w:szCs w:val="19"/>
        </w:rPr>
        <w:t>script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808080"/>
          <w:sz w:val="19"/>
          <w:szCs w:val="19"/>
        </w:rPr>
        <w:t xml:space="preserve"> "scripts/jszip-utils.js"</w:t>
      </w:r>
      <w:r>
        <w:rPr>
          <w:rFonts w:cs="Consolas" w:ascii="Consolas" w:hAnsi="Consolas"/>
          <w:color w:val="000000"/>
          <w:sz w:val="19"/>
          <w:szCs w:val="19"/>
        </w:rPr>
        <w:t xml:space="preserve"> %}</w:t>
      </w:r>
      <w:r>
        <w:rPr>
          <w:rFonts w:cs="Consolas" w:ascii="Consolas" w:hAnsi="Consolas"/>
          <w:color w:val="0000FF"/>
          <w:sz w:val="19"/>
          <w:szCs w:val="19"/>
        </w:rPr>
        <w:t>"&gt;&lt;/</w:t>
      </w:r>
      <w:r>
        <w:rPr>
          <w:rFonts w:cs="Consolas" w:ascii="Consolas" w:hAnsi="Consolas"/>
          <w:color w:val="800000"/>
          <w:sz w:val="19"/>
          <w:szCs w:val="19"/>
        </w:rPr>
        <w:t>script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808080"/>
          <w:sz w:val="19"/>
          <w:szCs w:val="19"/>
        </w:rPr>
        <w:t xml:space="preserve"> "scripts/preprocess.js"</w:t>
      </w:r>
      <w:r>
        <w:rPr>
          <w:rFonts w:cs="Consolas" w:ascii="Consolas" w:hAnsi="Consolas"/>
          <w:color w:val="000000"/>
          <w:sz w:val="19"/>
          <w:szCs w:val="19"/>
        </w:rPr>
        <w:t xml:space="preserve"> %}</w:t>
      </w:r>
      <w:r>
        <w:rPr>
          <w:rFonts w:cs="Consolas" w:ascii="Consolas" w:hAnsi="Consolas"/>
          <w:color w:val="0000FF"/>
          <w:sz w:val="19"/>
          <w:szCs w:val="19"/>
        </w:rPr>
        <w:t>"&gt;&lt;/</w:t>
      </w:r>
      <w:r>
        <w:rPr>
          <w:rFonts w:cs="Consolas" w:ascii="Consolas" w:hAnsi="Consolas"/>
          <w:color w:val="800000"/>
          <w:sz w:val="19"/>
          <w:szCs w:val="19"/>
        </w:rPr>
        <w:t>script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808080"/>
          <w:sz w:val="19"/>
          <w:szCs w:val="19"/>
        </w:rPr>
        <w:t xml:space="preserve"> "scripts/bootstrap-filestyle.min.js"</w:t>
      </w:r>
      <w:r>
        <w:rPr>
          <w:rFonts w:cs="Consolas" w:ascii="Consolas" w:hAnsi="Consolas"/>
          <w:color w:val="000000"/>
          <w:sz w:val="19"/>
          <w:szCs w:val="19"/>
        </w:rPr>
        <w:t xml:space="preserve"> %}</w:t>
      </w:r>
      <w:r>
        <w:rPr>
          <w:rFonts w:cs="Consolas" w:ascii="Consolas" w:hAnsi="Consolas"/>
          <w:color w:val="0000FF"/>
          <w:sz w:val="19"/>
          <w:szCs w:val="19"/>
        </w:rPr>
        <w:t>"&gt;&lt;/</w:t>
      </w:r>
      <w:r>
        <w:rPr>
          <w:rFonts w:cs="Consolas" w:ascii="Consolas" w:hAnsi="Consolas"/>
          <w:color w:val="800000"/>
          <w:sz w:val="19"/>
          <w:szCs w:val="19"/>
        </w:rPr>
        <w:t>script</w:t>
      </w:r>
      <w:r>
        <w:rPr>
          <w:rFonts w:cs="Consolas" w:ascii="Consolas" w:hAnsi="Consolas"/>
          <w:color w:val="0000FF"/>
          <w:sz w:val="19"/>
          <w:szCs w:val="19"/>
        </w:rPr>
        <w:t>&gt;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="https://code.highcharts.com/highcharts.js"&gt;&lt;/</w:t>
      </w:r>
      <w:r>
        <w:rPr>
          <w:rFonts w:cs="Consolas" w:ascii="Consolas" w:hAnsi="Consolas"/>
          <w:color w:val="800000"/>
          <w:sz w:val="19"/>
          <w:szCs w:val="19"/>
        </w:rPr>
        <w:t>script</w:t>
      </w:r>
      <w:r>
        <w:rPr>
          <w:rFonts w:cs="Consolas" w:ascii="Consolas" w:hAnsi="Consolas"/>
          <w:color w:val="0000FF"/>
          <w:sz w:val="19"/>
          <w:szCs w:val="19"/>
        </w:rPr>
        <w:t>&gt;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="https://code.highcharts.com/highcharts-more.js"&gt;&lt;/</w:t>
      </w:r>
      <w:r>
        <w:rPr>
          <w:rFonts w:cs="Consolas" w:ascii="Consolas" w:hAnsi="Consolas"/>
          <w:color w:val="800000"/>
          <w:sz w:val="19"/>
          <w:szCs w:val="19"/>
        </w:rPr>
        <w:t>script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00"/>
          <w:sz w:val="19"/>
          <w:szCs w:val="19"/>
        </w:rPr>
        <w:t xml:space="preserve"> </w:t>
      </w:r>
      <w:r>
        <w:rPr>
          <w:rFonts w:cs="Consolas" w:ascii="Consolas" w:hAnsi="Consolas"/>
          <w:color w:val="FF0000"/>
          <w:sz w:val="19"/>
          <w:szCs w:val="19"/>
        </w:rPr>
        <w:t>src</w:t>
      </w:r>
      <w:r>
        <w:rPr>
          <w:rFonts w:cs="Consolas" w:ascii="Consolas" w:hAnsi="Consolas"/>
          <w:color w:val="0000FF"/>
          <w:sz w:val="19"/>
          <w:szCs w:val="19"/>
        </w:rPr>
        <w:t>="https://code.highcharts.com/modules/exporting.js"&gt;&lt;/</w:t>
      </w:r>
      <w:r>
        <w:rPr>
          <w:rFonts w:cs="Consolas" w:ascii="Consolas" w:hAnsi="Consolas"/>
          <w:color w:val="800000"/>
          <w:sz w:val="19"/>
          <w:szCs w:val="19"/>
        </w:rPr>
        <w:t>script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r>
        <w:rPr>
          <w:rFonts w:cs="Consolas" w:ascii="Consolas" w:hAnsi="Consolas"/>
          <w:color w:val="0000FF"/>
          <w:sz w:val="19"/>
          <w:szCs w:val="19"/>
        </w:rPr>
        <w:t>function</w:t>
      </w:r>
      <w:r>
        <w:rPr>
          <w:rFonts w:cs="Consolas" w:ascii="Consolas" w:hAnsi="Consolas"/>
          <w:color w:val="000000"/>
          <w:sz w:val="19"/>
          <w:szCs w:val="19"/>
        </w:rPr>
        <w:t>(i,s,o,g,r,a,m){i[</w:t>
      </w:r>
      <w:r>
        <w:rPr>
          <w:rFonts w:cs="Consolas" w:ascii="Consolas" w:hAnsi="Consolas"/>
          <w:color w:val="A31515"/>
          <w:sz w:val="19"/>
          <w:szCs w:val="19"/>
        </w:rPr>
        <w:t>'GoogleAnalyticsObject'</w:t>
      </w:r>
      <w:r>
        <w:rPr>
          <w:rFonts w:cs="Consolas" w:ascii="Consolas" w:hAnsi="Consolas"/>
          <w:color w:val="000000"/>
          <w:sz w:val="19"/>
          <w:szCs w:val="19"/>
        </w:rPr>
        <w:t>]=r;i[r]=i[r]||</w:t>
      </w:r>
      <w:r>
        <w:rPr>
          <w:rFonts w:cs="Consolas" w:ascii="Consolas" w:hAnsi="Consolas"/>
          <w:color w:val="0000FF"/>
          <w:sz w:val="19"/>
          <w:szCs w:val="19"/>
        </w:rPr>
        <w:t>function</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(i[r].q=i[r].q||[]).push(arguments)},i[r].l=1*</w:t>
      </w:r>
      <w:r>
        <w:rPr>
          <w:rFonts w:cs="Consolas" w:ascii="Consolas" w:hAnsi="Consolas"/>
          <w:color w:val="0000FF"/>
          <w:sz w:val="19"/>
          <w:szCs w:val="19"/>
        </w:rPr>
        <w:t>new</w:t>
      </w:r>
      <w:r>
        <w:rPr>
          <w:rFonts w:cs="Consolas" w:ascii="Consolas" w:hAnsi="Consolas"/>
          <w:color w:val="000000"/>
          <w:sz w:val="19"/>
          <w:szCs w:val="19"/>
        </w:rPr>
        <w:t xml:space="preserve"> Date();a=s.createElement(o),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m=s.getElementsByTagName(o)[0];a.async=1;a.src=g;m.parentNode.insertBefore(a,m)</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})(window,document,</w:t>
      </w:r>
      <w:r>
        <w:rPr>
          <w:rFonts w:cs="Consolas" w:ascii="Consolas" w:hAnsi="Consolas"/>
          <w:color w:val="A31515"/>
          <w:sz w:val="19"/>
          <w:szCs w:val="19"/>
        </w:rPr>
        <w:t>'script'</w:t>
      </w:r>
      <w:r>
        <w:rPr>
          <w:rFonts w:cs="Consolas" w:ascii="Consolas" w:hAnsi="Consolas"/>
          <w:color w:val="000000"/>
          <w:sz w:val="19"/>
          <w:szCs w:val="19"/>
        </w:rPr>
        <w:t>,</w:t>
      </w:r>
      <w:r>
        <w:rPr>
          <w:rFonts w:cs="Consolas" w:ascii="Consolas" w:hAnsi="Consolas"/>
          <w:color w:val="A31515"/>
          <w:sz w:val="19"/>
          <w:szCs w:val="19"/>
        </w:rPr>
        <w:t>'https://www.google-analytics.com/analytics.js'</w:t>
      </w:r>
      <w:r>
        <w:rPr>
          <w:rFonts w:cs="Consolas" w:ascii="Consolas" w:hAnsi="Consolas"/>
          <w:color w:val="000000"/>
          <w:sz w:val="19"/>
          <w:szCs w:val="19"/>
        </w:rPr>
        <w:t>,</w:t>
      </w:r>
      <w:r>
        <w:rPr>
          <w:rFonts w:cs="Consolas" w:ascii="Consolas" w:hAnsi="Consolas"/>
          <w:color w:val="A31515"/>
          <w:sz w:val="19"/>
          <w:szCs w:val="19"/>
        </w:rPr>
        <w:t>'ga'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ga(</w:t>
      </w:r>
      <w:r>
        <w:rPr>
          <w:rFonts w:cs="Consolas" w:ascii="Consolas" w:hAnsi="Consolas"/>
          <w:color w:val="A31515"/>
          <w:sz w:val="19"/>
          <w:szCs w:val="19"/>
        </w:rPr>
        <w:t>'create'</w:t>
      </w:r>
      <w:r>
        <w:rPr>
          <w:rFonts w:cs="Consolas" w:ascii="Consolas" w:hAnsi="Consolas"/>
          <w:color w:val="000000"/>
          <w:sz w:val="19"/>
          <w:szCs w:val="19"/>
        </w:rPr>
        <w:t xml:space="preserve">, </w:t>
      </w:r>
      <w:r>
        <w:rPr>
          <w:rFonts w:cs="Consolas" w:ascii="Consolas" w:hAnsi="Consolas"/>
          <w:color w:val="A31515"/>
          <w:sz w:val="19"/>
          <w:szCs w:val="19"/>
        </w:rPr>
        <w:t>'UA-77574655-1'</w:t>
      </w:r>
      <w:r>
        <w:rPr>
          <w:rFonts w:cs="Consolas" w:ascii="Consolas" w:hAnsi="Consolas"/>
          <w:color w:val="000000"/>
          <w:sz w:val="19"/>
          <w:szCs w:val="19"/>
        </w:rPr>
        <w:t xml:space="preserve">, </w:t>
      </w:r>
      <w:r>
        <w:rPr>
          <w:rFonts w:cs="Consolas" w:ascii="Consolas" w:hAnsi="Consolas"/>
          <w:color w:val="A31515"/>
          <w:sz w:val="19"/>
          <w:szCs w:val="19"/>
        </w:rPr>
        <w:t>'auto'</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ga(</w:t>
      </w:r>
      <w:r>
        <w:rPr>
          <w:rFonts w:cs="Consolas" w:ascii="Consolas" w:hAnsi="Consolas"/>
          <w:color w:val="A31515"/>
          <w:sz w:val="19"/>
          <w:szCs w:val="19"/>
        </w:rPr>
        <w:t>'send'</w:t>
      </w:r>
      <w:r>
        <w:rPr>
          <w:rFonts w:cs="Consolas" w:ascii="Consolas" w:hAnsi="Consolas"/>
          <w:color w:val="000000"/>
          <w:sz w:val="19"/>
          <w:szCs w:val="19"/>
        </w:rPr>
        <w:t xml:space="preserve">, </w:t>
      </w:r>
      <w:r>
        <w:rPr>
          <w:rFonts w:cs="Consolas" w:ascii="Consolas" w:hAnsi="Consolas"/>
          <w:color w:val="A31515"/>
          <w:sz w:val="19"/>
          <w:szCs w:val="19"/>
        </w:rPr>
        <w:t>'pageview'</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$(document).ready(</w:t>
      </w:r>
      <w:r>
        <w:rPr>
          <w:rFonts w:cs="Consolas" w:ascii="Consolas" w:hAnsi="Consolas"/>
          <w:color w:val="0000FF"/>
          <w:sz w:val="19"/>
          <w:szCs w:val="19"/>
        </w:rPr>
        <w:t>function</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r>
        <w:rPr>
          <w:rFonts w:cs="Consolas" w:ascii="Consolas" w:hAnsi="Consolas"/>
          <w:color w:val="A31515"/>
          <w:sz w:val="19"/>
          <w:szCs w:val="19"/>
        </w:rPr>
        <w:t>'.selectpicker'</w:t>
      </w:r>
      <w:r>
        <w:rPr>
          <w:rFonts w:cs="Consolas" w:ascii="Consolas" w:hAnsi="Consolas"/>
          <w:color w:val="000000"/>
          <w:sz w:val="19"/>
          <w:szCs w:val="19"/>
        </w:rPr>
        <w:t>).selectpicker({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size: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width: </w:t>
      </w:r>
      <w:r>
        <w:rPr>
          <w:rFonts w:cs="Consolas" w:ascii="Consolas" w:hAnsi="Consolas"/>
          <w:color w:val="A31515"/>
          <w:sz w:val="19"/>
          <w:szCs w:val="19"/>
        </w:rPr>
        <w:t>'100%'</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script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link</w:t>
      </w:r>
      <w:r>
        <w:rPr>
          <w:rFonts w:cs="Consolas" w:ascii="Consolas" w:hAnsi="Consolas"/>
          <w:color w:val="000000"/>
          <w:sz w:val="19"/>
          <w:szCs w:val="19"/>
        </w:rPr>
        <w:t xml:space="preserve"> </w:t>
      </w:r>
      <w:r>
        <w:rPr>
          <w:rFonts w:cs="Consolas" w:ascii="Consolas" w:hAnsi="Consolas"/>
          <w:color w:val="FF0000"/>
          <w:sz w:val="19"/>
          <w:szCs w:val="19"/>
        </w:rPr>
        <w:t>rel</w:t>
      </w:r>
      <w:r>
        <w:rPr>
          <w:rFonts w:cs="Consolas" w:ascii="Consolas" w:hAnsi="Consolas"/>
          <w:color w:val="0000FF"/>
          <w:sz w:val="19"/>
          <w:szCs w:val="19"/>
        </w:rPr>
        <w:t>="shortcut icon"</w:t>
      </w:r>
      <w:r>
        <w:rPr>
          <w:rFonts w:cs="Consolas" w:ascii="Consolas" w:hAnsi="Consolas"/>
          <w:color w:val="000000"/>
          <w:sz w:val="19"/>
          <w:szCs w:val="19"/>
        </w:rPr>
        <w:t xml:space="preserve"> </w:t>
      </w:r>
      <w:r>
        <w:rPr>
          <w:rFonts w:cs="Consolas" w:ascii="Consolas" w:hAnsi="Consolas"/>
          <w:color w:val="FF0000"/>
          <w:sz w:val="19"/>
          <w:szCs w:val="19"/>
        </w:rPr>
        <w:t>HREF</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808080"/>
          <w:sz w:val="19"/>
          <w:szCs w:val="19"/>
        </w:rPr>
        <w:t xml:space="preserve"> "images/favicon-32.png"</w:t>
      </w:r>
      <w:r>
        <w:rPr>
          <w:rFonts w:cs="Consolas" w:ascii="Consolas" w:hAnsi="Consolas"/>
          <w:color w:val="000000"/>
          <w:sz w:val="19"/>
          <w:szCs w:val="19"/>
        </w:rPr>
        <w:t xml:space="preserve"> %}</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link</w:t>
      </w:r>
      <w:r>
        <w:rPr>
          <w:rFonts w:cs="Consolas" w:ascii="Consolas" w:hAnsi="Consolas"/>
          <w:color w:val="000000"/>
          <w:sz w:val="19"/>
          <w:szCs w:val="19"/>
        </w:rPr>
        <w:t xml:space="preserve"> </w:t>
      </w:r>
      <w:r>
        <w:rPr>
          <w:rFonts w:cs="Consolas" w:ascii="Consolas" w:hAnsi="Consolas"/>
          <w:color w:val="FF0000"/>
          <w:sz w:val="19"/>
          <w:szCs w:val="19"/>
        </w:rPr>
        <w:t>href</w:t>
      </w:r>
      <w:r>
        <w:rPr>
          <w:rFonts w:cs="Consolas" w:ascii="Consolas" w:hAnsi="Consolas"/>
          <w:color w:val="0000FF"/>
          <w:sz w:val="19"/>
          <w:szCs w:val="19"/>
        </w:rPr>
        <w:t>='https://fonts.googleapis.com/css?family=Roboto'</w:t>
      </w:r>
      <w:r>
        <w:rPr>
          <w:rFonts w:cs="Consolas" w:ascii="Consolas" w:hAnsi="Consolas"/>
          <w:color w:val="000000"/>
          <w:sz w:val="19"/>
          <w:szCs w:val="19"/>
        </w:rPr>
        <w:t xml:space="preserve"> </w:t>
      </w:r>
      <w:r>
        <w:rPr>
          <w:rFonts w:cs="Consolas" w:ascii="Consolas" w:hAnsi="Consolas"/>
          <w:color w:val="FF0000"/>
          <w:sz w:val="19"/>
          <w:szCs w:val="19"/>
        </w:rPr>
        <w:t>rel</w:t>
      </w:r>
      <w:r>
        <w:rPr>
          <w:rFonts w:cs="Consolas" w:ascii="Consolas" w:hAnsi="Consolas"/>
          <w:color w:val="0000FF"/>
          <w:sz w:val="19"/>
          <w:szCs w:val="19"/>
        </w:rPr>
        <w:t>='stylesheet'</w:t>
      </w:r>
      <w:r>
        <w:rPr>
          <w:rFonts w:cs="Consolas" w:ascii="Consolas" w:hAnsi="Consolas"/>
          <w:color w:val="000000"/>
          <w:sz w:val="19"/>
          <w:szCs w:val="19"/>
        </w:rPr>
        <w:t xml:space="preserve"> </w:t>
      </w:r>
      <w:r>
        <w:rPr>
          <w:rFonts w:cs="Consolas" w:ascii="Consolas" w:hAnsi="Consolas"/>
          <w:color w:val="FF0000"/>
          <w:sz w:val="19"/>
          <w:szCs w:val="19"/>
        </w:rPr>
        <w:t>type</w:t>
      </w:r>
      <w:r>
        <w:rPr>
          <w:rFonts w:cs="Consolas" w:ascii="Consolas" w:hAnsi="Consolas"/>
          <w:color w:val="0000FF"/>
          <w:sz w:val="19"/>
          <w:szCs w:val="19"/>
        </w:rPr>
        <w:t>='text/css'&gt;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link</w:t>
      </w:r>
      <w:r>
        <w:rPr>
          <w:rFonts w:cs="Consolas" w:ascii="Consolas" w:hAnsi="Consolas"/>
          <w:color w:val="000000"/>
          <w:sz w:val="19"/>
          <w:szCs w:val="19"/>
        </w:rPr>
        <w:t xml:space="preserve"> </w:t>
      </w:r>
      <w:r>
        <w:rPr>
          <w:rFonts w:cs="Consolas" w:ascii="Consolas" w:hAnsi="Consolas"/>
          <w:color w:val="FF0000"/>
          <w:sz w:val="19"/>
          <w:szCs w:val="19"/>
        </w:rPr>
        <w:t>rel</w:t>
      </w:r>
      <w:r>
        <w:rPr>
          <w:rFonts w:cs="Consolas" w:ascii="Consolas" w:hAnsi="Consolas"/>
          <w:color w:val="0000FF"/>
          <w:sz w:val="19"/>
          <w:szCs w:val="19"/>
        </w:rPr>
        <w:t>="stylesheet"</w:t>
      </w:r>
      <w:r>
        <w:rPr>
          <w:rFonts w:cs="Consolas" w:ascii="Consolas" w:hAnsi="Consolas"/>
          <w:color w:val="000000"/>
          <w:sz w:val="19"/>
          <w:szCs w:val="19"/>
        </w:rPr>
        <w:t xml:space="preserve"> </w:t>
      </w:r>
      <w:r>
        <w:rPr>
          <w:rFonts w:cs="Consolas" w:ascii="Consolas" w:hAnsi="Consolas"/>
          <w:color w:val="FF0000"/>
          <w:sz w:val="19"/>
          <w:szCs w:val="19"/>
        </w:rPr>
        <w:t>href</w:t>
      </w:r>
      <w:r>
        <w:rPr>
          <w:rFonts w:cs="Consolas" w:ascii="Consolas" w:hAnsi="Consolas"/>
          <w:color w:val="0000FF"/>
          <w:sz w:val="19"/>
          <w:szCs w:val="19"/>
        </w:rPr>
        <w:t>="http://maxcdn.bootstrapcdn.com/bootstrap/3.3.6/css/bootstrap.min.css"</w:t>
      </w:r>
      <w:r>
        <w:rPr>
          <w:rFonts w:cs="Consolas" w:ascii="Consolas" w:hAnsi="Consolas"/>
          <w:color w:val="000000"/>
          <w:sz w:val="19"/>
          <w:szCs w:val="19"/>
        </w:rPr>
        <w:t xml:space="preserve"> </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link</w:t>
      </w:r>
      <w:r>
        <w:rPr>
          <w:rFonts w:cs="Consolas" w:ascii="Consolas" w:hAnsi="Consolas"/>
          <w:color w:val="000000"/>
          <w:sz w:val="19"/>
          <w:szCs w:val="19"/>
        </w:rPr>
        <w:t xml:space="preserve"> </w:t>
      </w:r>
      <w:r>
        <w:rPr>
          <w:rFonts w:cs="Consolas" w:ascii="Consolas" w:hAnsi="Consolas"/>
          <w:color w:val="FF0000"/>
          <w:sz w:val="19"/>
          <w:szCs w:val="19"/>
        </w:rPr>
        <w:t>rel</w:t>
      </w:r>
      <w:r>
        <w:rPr>
          <w:rFonts w:cs="Consolas" w:ascii="Consolas" w:hAnsi="Consolas"/>
          <w:color w:val="0000FF"/>
          <w:sz w:val="19"/>
          <w:szCs w:val="19"/>
        </w:rPr>
        <w:t>="stylesheet"</w:t>
      </w:r>
      <w:r>
        <w:rPr>
          <w:rFonts w:cs="Consolas" w:ascii="Consolas" w:hAnsi="Consolas"/>
          <w:color w:val="000000"/>
          <w:sz w:val="19"/>
          <w:szCs w:val="19"/>
        </w:rPr>
        <w:t xml:space="preserve"> </w:t>
      </w:r>
      <w:r>
        <w:rPr>
          <w:rFonts w:cs="Consolas" w:ascii="Consolas" w:hAnsi="Consolas"/>
          <w:color w:val="FF0000"/>
          <w:sz w:val="19"/>
          <w:szCs w:val="19"/>
        </w:rPr>
        <w:t>href</w:t>
      </w:r>
      <w:r>
        <w:rPr>
          <w:rFonts w:cs="Consolas" w:ascii="Consolas" w:hAnsi="Consolas"/>
          <w:color w:val="0000FF"/>
          <w:sz w:val="19"/>
          <w:szCs w:val="19"/>
        </w:rPr>
        <w:t>="https://maxcdn.bootstrapcdn.com/bootstrap/3.3.6/css/bootstrap-theme.min.css"</w:t>
      </w:r>
      <w:r>
        <w:rPr>
          <w:rFonts w:cs="Consolas" w:ascii="Consolas" w:hAnsi="Consolas"/>
          <w:color w:val="000000"/>
          <w:sz w:val="19"/>
          <w:szCs w:val="19"/>
        </w:rPr>
        <w:t xml:space="preserve"> </w:t>
      </w:r>
      <w:r>
        <w:rPr>
          <w:rFonts w:cs="Consolas" w:ascii="Consolas" w:hAnsi="Consolas"/>
          <w:color w:val="FF0000"/>
          <w:sz w:val="19"/>
          <w:szCs w:val="19"/>
        </w:rPr>
        <w:t>integrity</w:t>
      </w:r>
      <w:r>
        <w:rPr>
          <w:rFonts w:cs="Consolas" w:ascii="Consolas" w:hAnsi="Consolas"/>
          <w:color w:val="0000FF"/>
          <w:sz w:val="19"/>
          <w:szCs w:val="19"/>
        </w:rPr>
        <w:t>="sha384-fLW2N01lMqjakBkx3l/M9EahuwpSfeNvV63J5ezn3uZzapT0u7EYsXMjQV+0En5r"</w:t>
      </w:r>
      <w:r>
        <w:rPr>
          <w:rFonts w:cs="Consolas" w:ascii="Consolas" w:hAnsi="Consolas"/>
          <w:color w:val="000000"/>
          <w:sz w:val="19"/>
          <w:szCs w:val="19"/>
        </w:rPr>
        <w:t xml:space="preserve"> </w:t>
      </w:r>
      <w:r>
        <w:rPr>
          <w:rFonts w:cs="Consolas" w:ascii="Consolas" w:hAnsi="Consolas"/>
          <w:color w:val="FF0000"/>
          <w:sz w:val="19"/>
          <w:szCs w:val="19"/>
        </w:rPr>
        <w:t>crossorigin</w:t>
      </w:r>
      <w:r>
        <w:rPr>
          <w:rFonts w:cs="Consolas" w:ascii="Consolas" w:hAnsi="Consolas"/>
          <w:color w:val="0000FF"/>
          <w:sz w:val="19"/>
          <w:szCs w:val="19"/>
        </w:rPr>
        <w:t>="anonymous"&gt;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link</w:t>
      </w:r>
      <w:r>
        <w:rPr>
          <w:rFonts w:cs="Consolas" w:ascii="Consolas" w:hAnsi="Consolas"/>
          <w:color w:val="000000"/>
          <w:sz w:val="19"/>
          <w:szCs w:val="19"/>
        </w:rPr>
        <w:t xml:space="preserve"> </w:t>
      </w:r>
      <w:r>
        <w:rPr>
          <w:rFonts w:cs="Consolas" w:ascii="Consolas" w:hAnsi="Consolas"/>
          <w:color w:val="FF0000"/>
          <w:sz w:val="19"/>
          <w:szCs w:val="19"/>
        </w:rPr>
        <w:t>rel</w:t>
      </w:r>
      <w:r>
        <w:rPr>
          <w:rFonts w:cs="Consolas" w:ascii="Consolas" w:hAnsi="Consolas"/>
          <w:color w:val="0000FF"/>
          <w:sz w:val="19"/>
          <w:szCs w:val="19"/>
        </w:rPr>
        <w:t>="stylesheet"</w:t>
      </w:r>
      <w:r>
        <w:rPr>
          <w:rFonts w:cs="Consolas" w:ascii="Consolas" w:hAnsi="Consolas"/>
          <w:color w:val="000000"/>
          <w:sz w:val="19"/>
          <w:szCs w:val="19"/>
        </w:rPr>
        <w:t xml:space="preserve"> </w:t>
      </w:r>
      <w:r>
        <w:rPr>
          <w:rFonts w:cs="Consolas" w:ascii="Consolas" w:hAnsi="Consolas"/>
          <w:color w:val="FF0000"/>
          <w:sz w:val="19"/>
          <w:szCs w:val="19"/>
        </w:rPr>
        <w:t>href</w:t>
      </w:r>
      <w:r>
        <w:rPr>
          <w:rFonts w:cs="Consolas" w:ascii="Consolas" w:hAnsi="Consolas"/>
          <w:color w:val="0000FF"/>
          <w:sz w:val="19"/>
          <w:szCs w:val="19"/>
        </w:rPr>
        <w:t>="https://cdnjs.cloudflare.com/ajax/libs/bootstrap-select/1.10.0/css/bootstrap-select.min.css"&gt;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link</w:t>
      </w:r>
      <w:r>
        <w:rPr>
          <w:rFonts w:cs="Consolas" w:ascii="Consolas" w:hAnsi="Consolas"/>
          <w:color w:val="000000"/>
          <w:sz w:val="19"/>
          <w:szCs w:val="19"/>
        </w:rPr>
        <w:t xml:space="preserve"> </w:t>
      </w:r>
      <w:r>
        <w:rPr>
          <w:rFonts w:cs="Consolas" w:ascii="Consolas" w:hAnsi="Consolas"/>
          <w:color w:val="FF0000"/>
          <w:sz w:val="19"/>
          <w:szCs w:val="19"/>
        </w:rPr>
        <w:t>rel</w:t>
      </w:r>
      <w:r>
        <w:rPr>
          <w:rFonts w:cs="Consolas" w:ascii="Consolas" w:hAnsi="Consolas"/>
          <w:color w:val="0000FF"/>
          <w:sz w:val="19"/>
          <w:szCs w:val="19"/>
        </w:rPr>
        <w:t>="stylesheet"</w:t>
      </w:r>
      <w:r>
        <w:rPr>
          <w:rFonts w:cs="Consolas" w:ascii="Consolas" w:hAnsi="Consolas"/>
          <w:color w:val="000000"/>
          <w:sz w:val="19"/>
          <w:szCs w:val="19"/>
        </w:rPr>
        <w:t xml:space="preserve"> </w:t>
      </w:r>
      <w:r>
        <w:rPr>
          <w:rFonts w:cs="Consolas" w:ascii="Consolas" w:hAnsi="Consolas"/>
          <w:color w:val="FF0000"/>
          <w:sz w:val="19"/>
          <w:szCs w:val="19"/>
        </w:rPr>
        <w:t>href</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808080"/>
          <w:sz w:val="19"/>
          <w:szCs w:val="19"/>
        </w:rPr>
        <w:t xml:space="preserve"> "css/jquery-ui.css"</w:t>
      </w:r>
      <w:r>
        <w:rPr>
          <w:rFonts w:cs="Consolas" w:ascii="Consolas" w:hAnsi="Consolas"/>
          <w:color w:val="000000"/>
          <w:sz w:val="19"/>
          <w:szCs w:val="19"/>
        </w:rPr>
        <w:t xml:space="preserve"> %}</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link</w:t>
      </w:r>
      <w:r>
        <w:rPr>
          <w:rFonts w:cs="Consolas" w:ascii="Consolas" w:hAnsi="Consolas"/>
          <w:color w:val="000000"/>
          <w:sz w:val="19"/>
          <w:szCs w:val="19"/>
        </w:rPr>
        <w:t xml:space="preserve"> </w:t>
      </w:r>
      <w:r>
        <w:rPr>
          <w:rFonts w:cs="Consolas" w:ascii="Consolas" w:hAnsi="Consolas"/>
          <w:color w:val="FF0000"/>
          <w:sz w:val="19"/>
          <w:szCs w:val="19"/>
        </w:rPr>
        <w:t>rel</w:t>
      </w:r>
      <w:r>
        <w:rPr>
          <w:rFonts w:cs="Consolas" w:ascii="Consolas" w:hAnsi="Consolas"/>
          <w:color w:val="0000FF"/>
          <w:sz w:val="19"/>
          <w:szCs w:val="19"/>
        </w:rPr>
        <w:t>="stylesheet"</w:t>
      </w:r>
      <w:r>
        <w:rPr>
          <w:rFonts w:cs="Consolas" w:ascii="Consolas" w:hAnsi="Consolas"/>
          <w:color w:val="000000"/>
          <w:sz w:val="19"/>
          <w:szCs w:val="19"/>
        </w:rPr>
        <w:t xml:space="preserve"> </w:t>
      </w:r>
      <w:r>
        <w:rPr>
          <w:rFonts w:cs="Consolas" w:ascii="Consolas" w:hAnsi="Consolas"/>
          <w:color w:val="FF0000"/>
          <w:sz w:val="19"/>
          <w:szCs w:val="19"/>
        </w:rPr>
        <w:t>href</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808080"/>
          <w:sz w:val="19"/>
          <w:szCs w:val="19"/>
        </w:rPr>
        <w:t xml:space="preserve"> "css/mapppd.css"</w:t>
      </w:r>
      <w:r>
        <w:rPr>
          <w:rFonts w:cs="Consolas" w:ascii="Consolas" w:hAnsi="Consolas"/>
          <w:color w:val="000000"/>
          <w:sz w:val="19"/>
          <w:szCs w:val="19"/>
        </w:rPr>
        <w:t xml:space="preserve"> %}</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link</w:t>
      </w:r>
      <w:r>
        <w:rPr>
          <w:rFonts w:cs="Consolas" w:ascii="Consolas" w:hAnsi="Consolas"/>
          <w:color w:val="000000"/>
          <w:sz w:val="19"/>
          <w:szCs w:val="19"/>
        </w:rPr>
        <w:t xml:space="preserve"> </w:t>
      </w:r>
      <w:r>
        <w:rPr>
          <w:rFonts w:cs="Consolas" w:ascii="Consolas" w:hAnsi="Consolas"/>
          <w:color w:val="FF0000"/>
          <w:sz w:val="19"/>
          <w:szCs w:val="19"/>
        </w:rPr>
        <w:t>rel</w:t>
      </w:r>
      <w:r>
        <w:rPr>
          <w:rFonts w:cs="Consolas" w:ascii="Consolas" w:hAnsi="Consolas"/>
          <w:color w:val="0000FF"/>
          <w:sz w:val="19"/>
          <w:szCs w:val="19"/>
        </w:rPr>
        <w:t>="stylesheet"</w:t>
      </w:r>
      <w:r>
        <w:rPr>
          <w:rFonts w:cs="Consolas" w:ascii="Consolas" w:hAnsi="Consolas"/>
          <w:color w:val="000000"/>
          <w:sz w:val="19"/>
          <w:szCs w:val="19"/>
        </w:rPr>
        <w:t xml:space="preserve"> </w:t>
      </w:r>
      <w:r>
        <w:rPr>
          <w:rFonts w:cs="Consolas" w:ascii="Consolas" w:hAnsi="Consolas"/>
          <w:color w:val="FF0000"/>
          <w:sz w:val="19"/>
          <w:szCs w:val="19"/>
        </w:rPr>
        <w:t>href</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808080"/>
          <w:sz w:val="19"/>
          <w:szCs w:val="19"/>
        </w:rPr>
        <w:t xml:space="preserve"> "css/ol3-layerswitcher.css"</w:t>
      </w:r>
      <w:r>
        <w:rPr>
          <w:rFonts w:cs="Consolas" w:ascii="Consolas" w:hAnsi="Consolas"/>
          <w:color w:val="000000"/>
          <w:sz w:val="19"/>
          <w:szCs w:val="19"/>
        </w:rPr>
        <w:t xml:space="preserve"> %}</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link</w:t>
      </w:r>
      <w:r>
        <w:rPr>
          <w:rFonts w:cs="Consolas" w:ascii="Consolas" w:hAnsi="Consolas"/>
          <w:color w:val="000000"/>
          <w:sz w:val="19"/>
          <w:szCs w:val="19"/>
        </w:rPr>
        <w:t xml:space="preserve"> </w:t>
      </w:r>
      <w:r>
        <w:rPr>
          <w:rFonts w:cs="Consolas" w:ascii="Consolas" w:hAnsi="Consolas"/>
          <w:color w:val="FF0000"/>
          <w:sz w:val="19"/>
          <w:szCs w:val="19"/>
        </w:rPr>
        <w:t>href</w:t>
      </w:r>
      <w:r>
        <w:rPr>
          <w:rFonts w:cs="Consolas" w:ascii="Consolas" w:hAnsi="Consolas"/>
          <w:color w:val="0000FF"/>
          <w:sz w:val="19"/>
          <w:szCs w:val="19"/>
        </w:rPr>
        <w:t>="http://www.jqueryscript.net/css/jquerysctipttop.css"</w:t>
      </w:r>
      <w:r>
        <w:rPr>
          <w:rFonts w:cs="Consolas" w:ascii="Consolas" w:hAnsi="Consolas"/>
          <w:color w:val="000000"/>
          <w:sz w:val="19"/>
          <w:szCs w:val="19"/>
        </w:rPr>
        <w:t xml:space="preserve"> </w:t>
      </w:r>
      <w:r>
        <w:rPr>
          <w:rFonts w:cs="Consolas" w:ascii="Consolas" w:hAnsi="Consolas"/>
          <w:color w:val="FF0000"/>
          <w:sz w:val="19"/>
          <w:szCs w:val="19"/>
        </w:rPr>
        <w:t>rel</w:t>
      </w:r>
      <w:r>
        <w:rPr>
          <w:rFonts w:cs="Consolas" w:ascii="Consolas" w:hAnsi="Consolas"/>
          <w:color w:val="0000FF"/>
          <w:sz w:val="19"/>
          <w:szCs w:val="19"/>
        </w:rPr>
        <w:t>="stylesheet"</w:t>
      </w:r>
      <w:r>
        <w:rPr>
          <w:rFonts w:cs="Consolas" w:ascii="Consolas" w:hAnsi="Consolas"/>
          <w:color w:val="000000"/>
          <w:sz w:val="19"/>
          <w:szCs w:val="19"/>
        </w:rPr>
        <w:t xml:space="preserve"> </w:t>
      </w:r>
      <w:r>
        <w:rPr>
          <w:rFonts w:cs="Consolas" w:ascii="Consolas" w:hAnsi="Consolas"/>
          <w:color w:val="FF0000"/>
          <w:sz w:val="19"/>
          <w:szCs w:val="19"/>
        </w:rPr>
        <w:t>type</w:t>
      </w:r>
      <w:r>
        <w:rPr>
          <w:rFonts w:cs="Consolas" w:ascii="Consolas" w:hAnsi="Consolas"/>
          <w:color w:val="0000FF"/>
          <w:sz w:val="19"/>
          <w:szCs w:val="19"/>
        </w:rPr>
        <w:t>="text/css"&gt;</w:t>
      </w:r>
    </w:p>
    <w:p>
      <w:pPr>
        <w:pStyle w:val="Normal"/>
        <w:rPr>
          <w:rFonts w:ascii="Consolas" w:hAnsi="Consolas" w:cs="Consolas"/>
          <w:color w:val="0000FF"/>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800000"/>
          <w:sz w:val="19"/>
          <w:szCs w:val="19"/>
        </w:rPr>
        <w:t>link</w:t>
      </w:r>
      <w:r>
        <w:rPr>
          <w:rFonts w:cs="Consolas" w:ascii="Consolas" w:hAnsi="Consolas"/>
          <w:color w:val="000000"/>
          <w:sz w:val="19"/>
          <w:szCs w:val="19"/>
        </w:rPr>
        <w:t xml:space="preserve"> </w:t>
      </w:r>
      <w:r>
        <w:rPr>
          <w:rFonts w:cs="Consolas" w:ascii="Consolas" w:hAnsi="Consolas"/>
          <w:color w:val="FF0000"/>
          <w:sz w:val="19"/>
          <w:szCs w:val="19"/>
        </w:rPr>
        <w:t>rel</w:t>
      </w:r>
      <w:r>
        <w:rPr>
          <w:rFonts w:cs="Consolas" w:ascii="Consolas" w:hAnsi="Consolas"/>
          <w:color w:val="0000FF"/>
          <w:sz w:val="19"/>
          <w:szCs w:val="19"/>
        </w:rPr>
        <w:t>="stylesheet"</w:t>
      </w:r>
      <w:r>
        <w:rPr>
          <w:rFonts w:cs="Consolas" w:ascii="Consolas" w:hAnsi="Consolas"/>
          <w:color w:val="000000"/>
          <w:sz w:val="19"/>
          <w:szCs w:val="19"/>
        </w:rPr>
        <w:t xml:space="preserve"> </w:t>
      </w:r>
      <w:r>
        <w:rPr>
          <w:rFonts w:cs="Consolas" w:ascii="Consolas" w:hAnsi="Consolas"/>
          <w:color w:val="FF0000"/>
          <w:sz w:val="19"/>
          <w:szCs w:val="19"/>
        </w:rPr>
        <w:t>href</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808080"/>
          <w:sz w:val="19"/>
          <w:szCs w:val="19"/>
        </w:rPr>
        <w:t xml:space="preserve"> "css/bootstrap-table-expandable.css"</w:t>
      </w:r>
      <w:r>
        <w:rPr>
          <w:rFonts w:cs="Consolas" w:ascii="Consolas" w:hAnsi="Consolas"/>
          <w:color w:val="000000"/>
          <w:sz w:val="19"/>
          <w:szCs w:val="19"/>
        </w:rPr>
        <w:t xml:space="preserve"> %}</w:t>
      </w:r>
      <w:r>
        <w:rPr>
          <w:rFonts w:cs="Consolas" w:ascii="Consolas" w:hAnsi="Consolas"/>
          <w:color w:val="0000FF"/>
          <w:sz w:val="19"/>
          <w:szCs w:val="19"/>
        </w:rPr>
        <w:t>"</w:t>
      </w:r>
      <w:r>
        <w:rPr>
          <w:rFonts w:cs="Consolas" w:ascii="Consolas" w:hAnsi="Consolas"/>
          <w:color w:val="000000"/>
          <w:sz w:val="19"/>
          <w:szCs w:val="19"/>
        </w:rPr>
        <w:t xml:space="preserve"> </w:t>
      </w:r>
      <w:r>
        <w:rPr>
          <w:rFonts w:cs="Consolas" w:ascii="Consolas" w:hAnsi="Consolas"/>
          <w:color w:val="0000FF"/>
          <w:sz w:val="19"/>
          <w:szCs w:val="19"/>
        </w:rPr>
        <w:t>/&gt;</w:t>
      </w:r>
    </w:p>
    <w:p>
      <w:pPr>
        <w:pStyle w:val="Normal"/>
        <w:rPr>
          <w:rFonts w:ascii="Consolas" w:hAnsi="Consolas" w:cs="Consolas"/>
          <w:color w:val="0000FF"/>
          <w:sz w:val="19"/>
          <w:szCs w:val="19"/>
        </w:rPr>
      </w:pPr>
      <w:r>
        <w:rPr>
          <w:rFonts w:cs="Consolas" w:ascii="Consolas" w:hAnsi="Consolas"/>
          <w:color w:val="0000FF"/>
          <w:sz w:val="19"/>
          <w:szCs w:val="19"/>
        </w:rPr>
      </w:r>
    </w:p>
    <w:p>
      <w:pPr>
        <w:pStyle w:val="Normal"/>
        <w:rPr>
          <w:rFonts w:ascii="Consolas" w:hAnsi="Consolas" w:cs="Consolas"/>
          <w:color w:val="0000FF"/>
          <w:sz w:val="19"/>
          <w:szCs w:val="19"/>
        </w:rPr>
      </w:pPr>
      <w:r>
        <w:rPr>
          <w:rFonts w:cs="Consolas" w:ascii="Consolas" w:hAnsi="Consolas"/>
          <w:color w:val="0000FF"/>
          <w:sz w:val="19"/>
          <w:szCs w:val="19"/>
        </w:rPr>
      </w:r>
    </w:p>
    <w:p>
      <w:pPr>
        <w:pStyle w:val="Normal"/>
        <w:rPr>
          <w:rFonts w:ascii="Consolas" w:hAnsi="Consolas" w:cs="Consolas"/>
          <w:color w:val="0000FF"/>
          <w:sz w:val="19"/>
          <w:szCs w:val="19"/>
        </w:rPr>
      </w:pPr>
      <w:r>
        <w:rPr>
          <w:rFonts w:cs="Consolas" w:ascii="Consolas" w:hAnsi="Consolas"/>
          <w:color w:val="0000FF"/>
          <w:sz w:val="19"/>
          <w:szCs w:val="19"/>
        </w:rPr>
      </w:r>
    </w:p>
    <w:p>
      <w:pPr>
        <w:pStyle w:val="Normal"/>
        <w:rPr>
          <w:rFonts w:ascii="Consolas" w:hAnsi="Consolas" w:cs="Consolas"/>
          <w:color w:val="0000FF"/>
          <w:sz w:val="19"/>
          <w:szCs w:val="19"/>
        </w:rPr>
      </w:pPr>
      <w:r>
        <w:rPr>
          <w:rFonts w:cs="Consolas" w:ascii="Consolas" w:hAnsi="Consolas"/>
          <w:color w:val="0000FF"/>
          <w:sz w:val="19"/>
          <w:szCs w:val="19"/>
        </w:rPr>
      </w:r>
    </w:p>
    <w:p>
      <w:pPr>
        <w:pStyle w:val="Normal"/>
        <w:rPr>
          <w:rFonts w:ascii="Consolas" w:hAnsi="Consolas" w:cs="Consolas"/>
          <w:color w:val="0000FF"/>
          <w:sz w:val="19"/>
          <w:szCs w:val="19"/>
        </w:rPr>
      </w:pPr>
      <w:r>
        <w:rPr>
          <w:rFonts w:cs="Consolas" w:ascii="Consolas" w:hAnsi="Consolas"/>
          <w:color w:val="0000FF"/>
          <w:sz w:val="19"/>
          <w:szCs w:val="19"/>
        </w:rPr>
      </w:r>
    </w:p>
    <w:p>
      <w:pPr>
        <w:pStyle w:val="Normal"/>
        <w:rPr>
          <w:rFonts w:ascii="Consolas" w:hAnsi="Consolas" w:cs="Consolas"/>
          <w:color w:val="0000FF"/>
          <w:sz w:val="19"/>
          <w:szCs w:val="19"/>
        </w:rPr>
      </w:pPr>
      <w:r>
        <w:rPr>
          <w:rFonts w:cs="Consolas" w:ascii="Consolas" w:hAnsi="Consolas"/>
          <w:color w:val="0000FF"/>
          <w:sz w:val="19"/>
          <w:szCs w:val="19"/>
        </w:rPr>
      </w:r>
    </w:p>
    <w:p>
      <w:pPr>
        <w:pStyle w:val="Normal"/>
        <w:rPr>
          <w:rFonts w:ascii="Consolas" w:hAnsi="Consolas" w:cs="Consolas"/>
          <w:color w:val="0000FF"/>
          <w:sz w:val="19"/>
          <w:szCs w:val="19"/>
        </w:rPr>
      </w:pPr>
      <w:r>
        <w:rPr>
          <w:rFonts w:cs="Consolas" w:ascii="Consolas" w:hAnsi="Consolas"/>
          <w:color w:val="0000FF"/>
          <w:sz w:val="19"/>
          <w:szCs w:val="19"/>
        </w:rPr>
      </w:r>
    </w:p>
    <w:p>
      <w:pPr>
        <w:pStyle w:val="Normal"/>
        <w:rPr>
          <w:rFonts w:ascii="Consolas" w:hAnsi="Consolas" w:cs="Consolas"/>
          <w:color w:val="0000FF"/>
          <w:sz w:val="19"/>
          <w:szCs w:val="19"/>
        </w:rPr>
      </w:pPr>
      <w:r>
        <w:rPr>
          <w:rFonts w:cs="Consolas" w:ascii="Consolas" w:hAnsi="Consolas"/>
          <w:color w:val="0000FF"/>
          <w:sz w:val="19"/>
          <w:szCs w:val="19"/>
        </w:rPr>
      </w:r>
    </w:p>
    <w:p>
      <w:pPr>
        <w:pStyle w:val="TextBody"/>
        <w:spacing w:lineRule="auto" w:line="240" w:before="0" w:after="0"/>
        <w:rPr>
          <w:rFonts w:ascii="Consolas" w:hAnsi="Consolas" w:cs="Consolas"/>
          <w:color w:val="0000FF"/>
          <w:sz w:val="19"/>
          <w:szCs w:val="19"/>
        </w:rPr>
      </w:pPr>
      <w:r>
        <w:rPr/>
      </w:r>
      <w:r>
        <mc:AlternateContent>
          <mc:Choice Requires="wps">
            <w:drawing>
              <wp:anchor behindDoc="0" distT="0" distB="0" distL="0" distR="0" simplePos="0" locked="0" layoutInCell="1" allowOverlap="1" relativeHeight="2">
                <wp:simplePos x="0" y="0"/>
                <wp:positionH relativeFrom="column">
                  <wp:align>right</wp:align>
                </wp:positionH>
                <wp:positionV relativeFrom="line">
                  <wp:align>top</wp:align>
                </wp:positionV>
                <wp:extent cx="5943600" cy="10058400"/>
                <wp:effectExtent l="0" t="0" r="0" b="0"/>
                <wp:wrapSquare wrapText="largest"/>
                <wp:docPr id="1" name="Frame1"/>
                <a:graphic xmlns:a="http://schemas.openxmlformats.org/drawingml/2006/main">
                  <a:graphicData uri="http://schemas.microsoft.com/office/word/2010/wordprocessingShape">
                    <wps:wsp>
                      <wps:cNvSpPr txBox="1"/>
                      <wps:spPr>
                        <a:xfrm>
                          <a:off x="0" y="0"/>
                          <a:ext cx="5943600" cy="10058400"/>
                        </a:xfrm>
                        <a:prstGeom prst="rect"/>
                      </wps:spPr>
                      <wps:txbx>
                        <w:txbxContent>
                          <w:tbl>
                            <w:tblPr>
                              <w:tblW w:w="9360" w:type="dxa"/>
                              <w:jc w:val="left"/>
                              <w:tblInd w:w="75" w:type="dxa"/>
                              <w:tblBorders/>
                              <w:tblCellMar>
                                <w:top w:w="75" w:type="dxa"/>
                                <w:left w:w="75" w:type="dxa"/>
                                <w:bottom w:w="75" w:type="dxa"/>
                                <w:right w:w="75" w:type="dxa"/>
                              </w:tblCellMar>
                            </w:tblPr>
                            <w:tblGrid>
                              <w:gridCol w:w="475"/>
                              <w:gridCol w:w="8885"/>
                            </w:tblGrid>
                            <w:tr>
                              <w:trPr/>
                              <w:tc>
                                <w:tcPr>
                                  <w:tcW w:w="475" w:type="dxa"/>
                                  <w:tcBorders/>
                                  <w:shd w:fill="auto" w:val="clear"/>
                                  <w:vAlign w:val="center"/>
                                </w:tcPr>
                                <w:p>
                                  <w:pPr>
                                    <w:pStyle w:val="TableContents"/>
                                    <w:spacing w:before="0" w:after="160"/>
                                    <w:rPr/>
                                  </w:pPr>
                                  <w:r>
                                    <w:rPr/>
                                    <w:t>20</w:t>
                                  </w:r>
                                </w:p>
                              </w:tc>
                              <w:tc>
                                <w:tcPr>
                                  <w:tcW w:w="8885" w:type="dxa"/>
                                  <w:tcBorders/>
                                  <w:shd w:fill="auto" w:val="clear"/>
                                  <w:vAlign w:val="center"/>
                                </w:tcPr>
                                <w:p>
                                  <w:pPr>
                                    <w:pStyle w:val="TableContents"/>
                                    <w:spacing w:before="0" w:after="160"/>
                                    <w:rPr/>
                                  </w:pPr>
                                  <w:r>
                                    <w:rPr/>
                                    <w:t>Harris S., Barringer J., Fowler S., Groenteman R., </w:t>
                                  </w:r>
                                  <w:r>
                                    <w:rPr>
                                      <w:rStyle w:val="StrongEmphasis"/>
                                    </w:rPr>
                                    <w:t>Humphries G.R.W. </w:t>
                                  </w:r>
                                  <w:r>
                                    <w:rPr/>
                                    <w:t>The economic benefits from New Zealand’s most successful weed biocontrol programme: an ex post evaluation for St. John’s wort, Hypericum perforatum in South Island pastures. New Zealand Journal of Agricultural Research. Submitted</w:t>
                                  </w:r>
                                </w:p>
                              </w:tc>
                            </w:tr>
                            <w:tr>
                              <w:trPr/>
                              <w:tc>
                                <w:tcPr>
                                  <w:tcW w:w="475" w:type="dxa"/>
                                  <w:tcBorders/>
                                  <w:shd w:fill="auto" w:val="clear"/>
                                  <w:vAlign w:val="center"/>
                                </w:tcPr>
                                <w:p>
                                  <w:pPr>
                                    <w:pStyle w:val="TableContents"/>
                                    <w:spacing w:before="0" w:after="160"/>
                                    <w:rPr/>
                                  </w:pPr>
                                  <w:r>
                                    <w:rPr/>
                                    <w:t>19</w:t>
                                  </w:r>
                                </w:p>
                              </w:tc>
                              <w:tc>
                                <w:tcPr>
                                  <w:tcW w:w="8885" w:type="dxa"/>
                                  <w:tcBorders/>
                                  <w:shd w:fill="auto" w:val="clear"/>
                                  <w:vAlign w:val="center"/>
                                </w:tcPr>
                                <w:p>
                                  <w:pPr>
                                    <w:pStyle w:val="TableContents"/>
                                    <w:spacing w:before="0" w:after="160"/>
                                    <w:rPr/>
                                  </w:pPr>
                                  <w:r>
                                    <w:rPr>
                                      <w:rStyle w:val="StrongEmphasis"/>
                                    </w:rPr>
                                    <w:t>Humphries G.R.W.,</w:t>
                                  </w:r>
                                  <w:r>
                                    <w:rPr/>
                                    <w:t> Kappes P.J., Kappes M.A., Orben R.A., Wille M., Mcduie F., Major H., Flemming S.A., Schmid M.S., Hammer S., McOmber K., Hirata, K., Magnusdottir E. Recommendations for Encouraging Recruitment and Retention of Early Career Scientists in Professional Scientific Societies. Marine Ornithology. Submitted</w:t>
                                  </w:r>
                                </w:p>
                              </w:tc>
                            </w:tr>
                            <w:tr>
                              <w:trPr/>
                              <w:tc>
                                <w:tcPr>
                                  <w:tcW w:w="475" w:type="dxa"/>
                                  <w:tcBorders/>
                                  <w:shd w:fill="auto" w:val="clear"/>
                                  <w:vAlign w:val="center"/>
                                </w:tcPr>
                                <w:p>
                                  <w:pPr>
                                    <w:pStyle w:val="TableContents"/>
                                    <w:spacing w:before="0" w:after="160"/>
                                    <w:rPr/>
                                  </w:pPr>
                                  <w:r>
                                    <w:rPr/>
                                    <w:t>18</w:t>
                                  </w:r>
                                </w:p>
                              </w:tc>
                              <w:tc>
                                <w:tcPr>
                                  <w:tcW w:w="8885" w:type="dxa"/>
                                  <w:tcBorders/>
                                  <w:shd w:fill="auto" w:val="clear"/>
                                  <w:vAlign w:val="center"/>
                                </w:tcPr>
                                <w:p>
                                  <w:pPr>
                                    <w:pStyle w:val="TableContents"/>
                                    <w:spacing w:before="0" w:after="160"/>
                                    <w:rPr/>
                                  </w:pPr>
                                  <w:r>
                                    <w:rPr>
                                      <w:rStyle w:val="StrongEmphasis"/>
                                    </w:rPr>
                                    <w:t>Humphries G.R.W.,</w:t>
                                  </w:r>
                                  <w:r>
                                    <w:rPr/>
                                    <w:t> Moller H. Fortune telling seabirds: Sooty shearwater (Tītī; Puffinus griseus) harvest data as a predictor of shifts in Pacific climate indices. Marine Ecology Progress Series. Submitted</w:t>
                                  </w:r>
                                </w:p>
                              </w:tc>
                            </w:tr>
                            <w:tr>
                              <w:trPr/>
                              <w:tc>
                                <w:tcPr>
                                  <w:tcW w:w="475" w:type="dxa"/>
                                  <w:tcBorders/>
                                  <w:shd w:fill="auto" w:val="clear"/>
                                  <w:vAlign w:val="center"/>
                                </w:tcPr>
                                <w:p>
                                  <w:pPr>
                                    <w:pStyle w:val="TableContents"/>
                                    <w:spacing w:before="0" w:after="160"/>
                                    <w:rPr/>
                                  </w:pPr>
                                  <w:r>
                                    <w:rPr/>
                                    <w:t>17</w:t>
                                  </w:r>
                                </w:p>
                              </w:tc>
                              <w:tc>
                                <w:tcPr>
                                  <w:tcW w:w="8885" w:type="dxa"/>
                                  <w:tcBorders/>
                                  <w:shd w:fill="auto" w:val="clear"/>
                                  <w:vAlign w:val="center"/>
                                </w:tcPr>
                                <w:p>
                                  <w:pPr>
                                    <w:pStyle w:val="TableContents"/>
                                    <w:spacing w:before="0" w:after="160"/>
                                    <w:rPr/>
                                  </w:pPr>
                                  <w:r>
                                    <w:rPr/>
                                    <w:t>Joiris C.R., </w:t>
                                  </w:r>
                                  <w:r>
                                    <w:rPr>
                                      <w:rStyle w:val="StrongEmphasis"/>
                                    </w:rPr>
                                    <w:t>Humphries G.R.W., </w:t>
                                  </w:r>
                                  <w:r>
                                    <w:rPr/>
                                    <w:t>D’Hert D., Lafontaine R-M., Robert H., Beudels-Jamar R.C. A major autumn aggregation of southern right whales Eubalaena australis, Antarctic fur seals Arctocephalus gazelle and Antarctic prions Pachyptila desolata around South Georgia, Scotia Sea. Advances in Polar Research. In Press</w:t>
                                  </w:r>
                                </w:p>
                              </w:tc>
                            </w:tr>
                            <w:tr>
                              <w:trPr/>
                              <w:tc>
                                <w:tcPr>
                                  <w:tcW w:w="475" w:type="dxa"/>
                                  <w:tcBorders/>
                                  <w:shd w:fill="auto" w:val="clear"/>
                                  <w:vAlign w:val="center"/>
                                </w:tcPr>
                                <w:p>
                                  <w:pPr>
                                    <w:pStyle w:val="TableContents"/>
                                    <w:spacing w:before="0" w:after="160"/>
                                    <w:rPr/>
                                  </w:pPr>
                                  <w:r>
                                    <w:rPr/>
                                    <w:t>16</w:t>
                                  </w:r>
                                </w:p>
                              </w:tc>
                              <w:tc>
                                <w:tcPr>
                                  <w:tcW w:w="8885" w:type="dxa"/>
                                  <w:tcBorders/>
                                  <w:shd w:fill="auto" w:val="clear"/>
                                  <w:vAlign w:val="center"/>
                                </w:tcPr>
                                <w:p>
                                  <w:pPr>
                                    <w:pStyle w:val="TableContents"/>
                                    <w:spacing w:before="0" w:after="160"/>
                                    <w:rPr/>
                                  </w:pPr>
                                  <w:r>
                                    <w:rPr/>
                                    <w:t>Joiris C.R., </w:t>
                                  </w:r>
                                  <w:r>
                                    <w:rPr>
                                      <w:rStyle w:val="StrongEmphasis"/>
                                    </w:rPr>
                                    <w:t>Humphries G.R.W.,</w:t>
                                  </w:r>
                                  <w:r>
                                    <w:rPr/>
                                    <w:t> De Broyer A. Marine mammals encountered along return transects between South Africa and Antarctica in summer in relation to hydrological features. Advances in Polar Science. In Press</w:t>
                                  </w:r>
                                </w:p>
                              </w:tc>
                            </w:tr>
                            <w:tr>
                              <w:trPr/>
                              <w:tc>
                                <w:tcPr>
                                  <w:tcW w:w="475" w:type="dxa"/>
                                  <w:tcBorders/>
                                  <w:shd w:fill="auto" w:val="clear"/>
                                  <w:vAlign w:val="center"/>
                                </w:tcPr>
                                <w:p>
                                  <w:pPr>
                                    <w:pStyle w:val="TableContents"/>
                                    <w:spacing w:before="0" w:after="160"/>
                                    <w:rPr/>
                                  </w:pPr>
                                  <w:r>
                                    <w:rPr/>
                                    <w:t>15</w:t>
                                  </w:r>
                                </w:p>
                              </w:tc>
                              <w:tc>
                                <w:tcPr>
                                  <w:tcW w:w="8885" w:type="dxa"/>
                                  <w:tcBorders/>
                                  <w:shd w:fill="auto" w:val="clear"/>
                                  <w:vAlign w:val="center"/>
                                </w:tcPr>
                                <w:p>
                                  <w:pPr>
                                    <w:pStyle w:val="TableContents"/>
                                    <w:spacing w:before="0" w:after="160"/>
                                    <w:rPr/>
                                  </w:pPr>
                                  <w:r>
                                    <w:rPr/>
                                    <w:t>Hart K.A., Choi C-Y., Bond A.L., </w:t>
                                  </w:r>
                                  <w:r>
                                    <w:rPr>
                                      <w:rStyle w:val="StrongEmphasis"/>
                                    </w:rPr>
                                    <w:t>Humphries G.R.W.,</w:t>
                                  </w:r>
                                  <w:r>
                                    <w:rPr/>
                                    <w:t> Yoo J-C., Nam K-B. The distribution and status of the streaked shearwater (Calonectris leucomelas) in the Korean Peninsula. The Forktail. In Press</w:t>
                                  </w:r>
                                </w:p>
                              </w:tc>
                            </w:tr>
                            <w:tr>
                              <w:trPr/>
                              <w:tc>
                                <w:tcPr>
                                  <w:tcW w:w="475" w:type="dxa"/>
                                  <w:tcBorders/>
                                  <w:shd w:fill="auto" w:val="clear"/>
                                  <w:vAlign w:val="center"/>
                                </w:tcPr>
                                <w:p>
                                  <w:pPr>
                                    <w:pStyle w:val="TableContents"/>
                                    <w:spacing w:before="0" w:after="160"/>
                                    <w:rPr/>
                                  </w:pPr>
                                  <w:r>
                                    <w:rPr/>
                                    <w:t>14</w:t>
                                  </w:r>
                                </w:p>
                              </w:tc>
                              <w:tc>
                                <w:tcPr>
                                  <w:tcW w:w="8885" w:type="dxa"/>
                                  <w:tcBorders/>
                                  <w:shd w:fill="auto" w:val="clear"/>
                                  <w:vAlign w:val="center"/>
                                </w:tcPr>
                                <w:p>
                                  <w:pPr>
                                    <w:pStyle w:val="TableContents"/>
                                    <w:spacing w:before="0" w:after="160"/>
                                    <w:rPr/>
                                  </w:pPr>
                                  <w:r>
                                    <w:rPr/>
                                    <w:t>Huettmann, F., Schmid, M., </w:t>
                                  </w:r>
                                  <w:r>
                                    <w:rPr>
                                      <w:rStyle w:val="StrongEmphasis"/>
                                    </w:rPr>
                                    <w:t>Humphries, G.R.W.​</w:t>
                                  </w:r>
                                  <w:r>
                                    <w:rPr/>
                                    <w:t> 2015. A first overview of open access digital wilderness data for the Ross Sea: New Complexities, Management Opportunities and an additional set of Ethical Dilemmas during Globalization. Hydrobiologica. 761:97 - 119. DOI 10.1007/s10750-015-2520-x</w:t>
                                  </w:r>
                                </w:p>
                              </w:tc>
                            </w:tr>
                            <w:tr>
                              <w:trPr/>
                              <w:tc>
                                <w:tcPr>
                                  <w:tcW w:w="475" w:type="dxa"/>
                                  <w:tcBorders/>
                                  <w:shd w:fill="auto" w:val="clear"/>
                                  <w:vAlign w:val="center"/>
                                </w:tcPr>
                                <w:p>
                                  <w:pPr>
                                    <w:pStyle w:val="TableContents"/>
                                    <w:spacing w:before="0" w:after="160"/>
                                    <w:rPr/>
                                  </w:pPr>
                                  <w:r>
                                    <w:rPr/>
                                    <w:t>13</w:t>
                                  </w:r>
                                </w:p>
                              </w:tc>
                              <w:tc>
                                <w:tcPr>
                                  <w:tcW w:w="8885" w:type="dxa"/>
                                  <w:tcBorders/>
                                  <w:shd w:fill="auto" w:val="clear"/>
                                  <w:vAlign w:val="center"/>
                                </w:tcPr>
                                <w:p>
                                  <w:pPr>
                                    <w:pStyle w:val="TableContents"/>
                                    <w:spacing w:before="0" w:after="160"/>
                                    <w:rPr/>
                                  </w:pPr>
                                  <w:r>
                                    <w:rPr>
                                      <w:rStyle w:val="StrongEmphasis"/>
                                    </w:rPr>
                                    <w:t>Humphries G.R.W</w:t>
                                  </w:r>
                                  <w:r>
                                    <w:rPr/>
                                    <w:t>. 2015. Estimating regions of oceanographic importance for seabirds using a-spatial data. PLoS ONE. 10(9): e0137241. DOI: 10.1371/journal.pone.0137241</w:t>
                                  </w:r>
                                </w:p>
                              </w:tc>
                            </w:tr>
                            <w:tr>
                              <w:trPr/>
                              <w:tc>
                                <w:tcPr>
                                  <w:tcW w:w="475" w:type="dxa"/>
                                  <w:tcBorders/>
                                  <w:shd w:fill="auto" w:val="clear"/>
                                  <w:vAlign w:val="center"/>
                                </w:tcPr>
                                <w:p>
                                  <w:pPr>
                                    <w:pStyle w:val="TableContents"/>
                                    <w:spacing w:before="0" w:after="160"/>
                                    <w:rPr/>
                                  </w:pPr>
                                  <w:r>
                                    <w:rPr/>
                                    <w:t>12</w:t>
                                  </w:r>
                                </w:p>
                              </w:tc>
                              <w:tc>
                                <w:tcPr>
                                  <w:tcW w:w="8885" w:type="dxa"/>
                                  <w:tcBorders/>
                                  <w:shd w:fill="auto" w:val="clear"/>
                                  <w:vAlign w:val="center"/>
                                </w:tcPr>
                                <w:p>
                                  <w:pPr>
                                    <w:pStyle w:val="TableContents"/>
                                    <w:spacing w:before="0" w:after="160"/>
                                    <w:rPr/>
                                  </w:pPr>
                                  <w:r>
                                    <w:rPr>
                                      <w:rStyle w:val="StrongEmphasis"/>
                                    </w:rPr>
                                    <w:t>Humphries G.R.W.,</w:t>
                                  </w:r>
                                  <w:r>
                                    <w:rPr/>
                                    <w:t> Velarde, E., Anderson, D.W., Haase, B., Sydeman, W.J. 2015. Seabirds as early warning indicators of climate events in the Pacific. PICES Press. Vol 23. No.1 pp 18 </w:t>
                                  </w:r>
                                </w:p>
                              </w:tc>
                            </w:tr>
                            <w:tr>
                              <w:trPr/>
                              <w:tc>
                                <w:tcPr>
                                  <w:tcW w:w="475" w:type="dxa"/>
                                  <w:tcBorders/>
                                  <w:shd w:fill="auto" w:val="clear"/>
                                  <w:vAlign w:val="center"/>
                                </w:tcPr>
                                <w:p>
                                  <w:pPr>
                                    <w:pStyle w:val="TableContents"/>
                                    <w:spacing w:before="0" w:after="160"/>
                                    <w:rPr/>
                                  </w:pPr>
                                  <w:r>
                                    <w:rPr/>
                                    <w:t>11</w:t>
                                  </w:r>
                                </w:p>
                              </w:tc>
                              <w:tc>
                                <w:tcPr>
                                  <w:tcW w:w="8885" w:type="dxa"/>
                                  <w:tcBorders/>
                                  <w:shd w:fill="auto" w:val="clear"/>
                                  <w:vAlign w:val="center"/>
                                </w:tcPr>
                                <w:p>
                                  <w:pPr>
                                    <w:pStyle w:val="TableContents"/>
                                    <w:spacing w:before="0" w:after="160"/>
                                    <w:rPr/>
                                  </w:pPr>
                                  <w:r>
                                    <w:rPr>
                                      <w:rStyle w:val="StrongEmphasis"/>
                                    </w:rPr>
                                    <w:t>Humphries G.R.W.,</w:t>
                                  </w:r>
                                  <w:r>
                                    <w:rPr/>
                                    <w:t> F. Huettmann. 2014. Arctic Seabirds: In: A. Hund (ed.) Antarctica andthe Arctic Circle: A Geographic Encyclopedia of the Earth's Polar Regions. Vol 1. pp. 95-98. http://www.abc-clio.com/.</w:t>
                                  </w:r>
                                </w:p>
                              </w:tc>
                            </w:tr>
                            <w:tr>
                              <w:trPr/>
                              <w:tc>
                                <w:tcPr>
                                  <w:tcW w:w="475" w:type="dxa"/>
                                  <w:tcBorders/>
                                  <w:shd w:fill="auto" w:val="clear"/>
                                  <w:vAlign w:val="center"/>
                                </w:tcPr>
                                <w:p>
                                  <w:pPr>
                                    <w:pStyle w:val="TableContents"/>
                                    <w:spacing w:before="0" w:after="160"/>
                                    <w:rPr/>
                                  </w:pPr>
                                  <w:r>
                                    <w:rPr/>
                                    <w:t>10</w:t>
                                  </w:r>
                                </w:p>
                              </w:tc>
                              <w:tc>
                                <w:tcPr>
                                  <w:tcW w:w="8885" w:type="dxa"/>
                                  <w:tcBorders/>
                                  <w:shd w:fill="auto" w:val="clear"/>
                                  <w:vAlign w:val="center"/>
                                </w:tcPr>
                                <w:p>
                                  <w:pPr>
                                    <w:pStyle w:val="TableContents"/>
                                    <w:spacing w:before="0" w:after="160"/>
                                    <w:rPr/>
                                  </w:pPr>
                                  <w:r>
                                    <w:rPr/>
                                    <w:t>Abraham E., Agnew D., Agnew P., Aikman H., Allen N., Angus I., Baird K., Baker B., Barnard T., Bartle S., Beauchamp T., Bell B., Bell B., Bell M., Bellingham M., Berg M., Bettesworth D., Bevin B., Bird J., Blyth R., Borrelle S., Borker A., Bradfield P., Britton M., Buurman D., Buurman L., Chappell R., Cockburn S., Cooper W., Cranwell S., Cronin E., Crossland A., Croxall J., Cryer M., Cuming P., Debski I., Dennis T., Deppe L., Dobbins P., Dowding J., Dunnett B., Edmonds H., Ellenburg U., Elliot G., Esler L., Fitter J., Fitzgerald N., Fleming A., Freeman D., Frost P., Galbraith M., Garson L., Gaze P., Gordon D., Goldsworthy R., Grant A., Greene B., Hackwell K., Haley M., Hand K., Hawkins K., Heaphy J. Higham T., Hiscock J., Hopkins C., Houston D., Hughey K., </w:t>
                                  </w:r>
                                  <w:r>
                                    <w:rPr>
                                      <w:rStyle w:val="StrongEmphasis"/>
                                    </w:rPr>
                                    <w:t>Humphries G.R.W., </w:t>
                                  </w:r>
                                  <w:r>
                                    <w:rPr/>
                                    <w:t>Irvine J. and Ismar S.M.H. (2014) New Zealand Seabirds : Important Bird Areas and Conservation The Royal Forest &amp; Bird Protection Society of New Zealand, Wellington, New Zealand. ISBN 978-0-473-28521-0</w:t>
                                  </w:r>
                                </w:p>
                              </w:tc>
                            </w:tr>
                            <w:tr>
                              <w:trPr/>
                              <w:tc>
                                <w:tcPr>
                                  <w:tcW w:w="475" w:type="dxa"/>
                                  <w:tcBorders/>
                                  <w:shd w:fill="auto" w:val="clear"/>
                                  <w:vAlign w:val="center"/>
                                </w:tcPr>
                                <w:p>
                                  <w:pPr>
                                    <w:pStyle w:val="TableContents"/>
                                    <w:spacing w:before="0" w:after="160"/>
                                    <w:rPr/>
                                  </w:pPr>
                                  <w:r>
                                    <w:rPr/>
                                    <w:t>9</w:t>
                                  </w:r>
                                </w:p>
                              </w:tc>
                              <w:tc>
                                <w:tcPr>
                                  <w:tcW w:w="8885" w:type="dxa"/>
                                  <w:tcBorders/>
                                  <w:shd w:fill="auto" w:val="clear"/>
                                  <w:vAlign w:val="center"/>
                                </w:tcPr>
                                <w:p>
                                  <w:pPr>
                                    <w:pStyle w:val="TableContents"/>
                                    <w:spacing w:before="0" w:after="160"/>
                                    <w:rPr/>
                                  </w:pPr>
                                  <w:r>
                                    <w:rPr>
                                      <w:rStyle w:val="StrongEmphasis"/>
                                    </w:rPr>
                                    <w:t>Humphries G.R.W.,</w:t>
                                  </w:r>
                                  <w:r>
                                    <w:rPr/>
                                    <w:t> Bragg, C., Overton, J., Lyver P., Moller, H. 2014. Pattern recognition in long-term sooty shearwater (Puffinus griseus) data: applying machine learning to create a harvest index. Ecological Applications. 24(8): 2107-2121. DOI 10.1890/13-2023.1</w:t>
                                  </w:r>
                                </w:p>
                              </w:tc>
                            </w:tr>
                            <w:tr>
                              <w:trPr/>
                              <w:tc>
                                <w:tcPr>
                                  <w:tcW w:w="475" w:type="dxa"/>
                                  <w:tcBorders/>
                                  <w:shd w:fill="auto" w:val="clear"/>
                                  <w:vAlign w:val="center"/>
                                </w:tcPr>
                                <w:p>
                                  <w:pPr>
                                    <w:pStyle w:val="TableContents"/>
                                    <w:spacing w:before="0" w:after="160"/>
                                    <w:rPr/>
                                  </w:pPr>
                                  <w:r>
                                    <w:rPr/>
                                    <w:t>8</w:t>
                                  </w:r>
                                </w:p>
                              </w:tc>
                              <w:tc>
                                <w:tcPr>
                                  <w:tcW w:w="8885" w:type="dxa"/>
                                  <w:tcBorders/>
                                  <w:shd w:fill="auto" w:val="clear"/>
                                  <w:vAlign w:val="center"/>
                                </w:tcPr>
                                <w:p>
                                  <w:pPr>
                                    <w:pStyle w:val="TableContents"/>
                                    <w:spacing w:before="0" w:after="160"/>
                                    <w:rPr/>
                                  </w:pPr>
                                  <w:r>
                                    <w:rPr>
                                      <w:rStyle w:val="StrongEmphasis"/>
                                    </w:rPr>
                                    <w:t>Humphries G.R.W.,</w:t>
                                  </w:r>
                                  <w:r>
                                    <w:rPr/>
                                    <w:t> Huettmann F. 2014. Putting models to a good use: Arctic seabird predictions indicate heavy conflicts with proposed and current shipping lanes. Diversity and Distributions. 20(4): 478-490. DOI: 10.1111/ddi.12177</w:t>
                                  </w:r>
                                </w:p>
                              </w:tc>
                            </w:tr>
                            <w:tr>
                              <w:trPr/>
                              <w:tc>
                                <w:tcPr>
                                  <w:tcW w:w="475" w:type="dxa"/>
                                  <w:tcBorders/>
                                  <w:shd w:fill="auto" w:val="clear"/>
                                  <w:vAlign w:val="center"/>
                                </w:tcPr>
                                <w:p>
                                  <w:pPr>
                                    <w:pStyle w:val="TableContents"/>
                                    <w:spacing w:before="0" w:after="160"/>
                                    <w:rPr/>
                                  </w:pPr>
                                  <w:r>
                                    <w:rPr/>
                                    <w:t>7</w:t>
                                  </w:r>
                                </w:p>
                              </w:tc>
                              <w:tc>
                                <w:tcPr>
                                  <w:tcW w:w="8885" w:type="dxa"/>
                                  <w:tcBorders/>
                                  <w:shd w:fill="auto" w:val="clear"/>
                                  <w:vAlign w:val="center"/>
                                </w:tcPr>
                                <w:p>
                                  <w:pPr>
                                    <w:pStyle w:val="TableContents"/>
                                    <w:spacing w:before="0" w:after="160"/>
                                    <w:rPr/>
                                  </w:pPr>
                                  <w:r>
                                    <w:rPr/>
                                    <w:t>Joiris C.R., </w:t>
                                  </w:r>
                                  <w:r>
                                    <w:rPr>
                                      <w:rStyle w:val="StrongEmphasis"/>
                                    </w:rPr>
                                    <w:t>Humphries G.R.W.,</w:t>
                                  </w:r>
                                  <w:r>
                                    <w:rPr/>
                                    <w:t> De Broyer A. 2013. Seabirds encountered along return transects between South Africa and Antarctic in summer in relation to hydrological features. Polar Biology. 36(11): 1633-1647. DOI: 10.1007/s00300-013-1382-9</w:t>
                                  </w:r>
                                </w:p>
                              </w:tc>
                            </w:tr>
                            <w:tr>
                              <w:trPr/>
                              <w:tc>
                                <w:tcPr>
                                  <w:tcW w:w="475" w:type="dxa"/>
                                  <w:tcBorders/>
                                  <w:shd w:fill="auto" w:val="clear"/>
                                  <w:vAlign w:val="center"/>
                                </w:tcPr>
                                <w:p>
                                  <w:pPr>
                                    <w:pStyle w:val="TableContents"/>
                                    <w:spacing w:before="0" w:after="160"/>
                                    <w:rPr/>
                                  </w:pPr>
                                  <w:r>
                                    <w:rPr/>
                                    <w:t>6</w:t>
                                  </w:r>
                                </w:p>
                              </w:tc>
                              <w:tc>
                                <w:tcPr>
                                  <w:tcW w:w="8885" w:type="dxa"/>
                                  <w:tcBorders/>
                                  <w:shd w:fill="auto" w:val="clear"/>
                                  <w:vAlign w:val="center"/>
                                </w:tcPr>
                                <w:p>
                                  <w:pPr>
                                    <w:pStyle w:val="TableContents"/>
                                    <w:spacing w:before="0" w:after="160"/>
                                    <w:rPr/>
                                  </w:pPr>
                                  <w:r>
                                    <w:rPr/>
                                    <w:t>Baltensperger A.P., Mullet T.C., Schmid M.S., </w:t>
                                  </w:r>
                                  <w:r>
                                    <w:rPr>
                                      <w:rStyle w:val="StrongEmphasis"/>
                                    </w:rPr>
                                    <w:t>Humphries G.R.W.,</w:t>
                                  </w:r>
                                  <w:r>
                                    <w:rPr/>
                                    <w:t> Kövér L., Huettmann F. 2013. Seasonal observations and machine-learning-based spatial model predictions for the common raven (Corvus corax) in the urban, subarctic environment of Fairbanks, Alaska. Polar Biology. 36(11): 1587-1599. DOI: 10.1007/s00300-013-1376-7</w:t>
                                  </w:r>
                                </w:p>
                              </w:tc>
                            </w:tr>
                            <w:tr>
                              <w:trPr/>
                              <w:tc>
                                <w:tcPr>
                                  <w:tcW w:w="475" w:type="dxa"/>
                                  <w:tcBorders/>
                                  <w:shd w:fill="auto" w:val="clear"/>
                                  <w:vAlign w:val="center"/>
                                </w:tcPr>
                                <w:p>
                                  <w:pPr>
                                    <w:pStyle w:val="TableContents"/>
                                    <w:spacing w:before="0" w:after="160"/>
                                    <w:rPr/>
                                  </w:pPr>
                                  <w:r>
                                    <w:rPr/>
                                    <w:t>5</w:t>
                                  </w:r>
                                </w:p>
                              </w:tc>
                              <w:tc>
                                <w:tcPr>
                                  <w:tcW w:w="8885" w:type="dxa"/>
                                  <w:tcBorders/>
                                  <w:shd w:fill="auto" w:val="clear"/>
                                  <w:vAlign w:val="center"/>
                                </w:tcPr>
                                <w:p>
                                  <w:pPr>
                                    <w:pStyle w:val="TableContents"/>
                                    <w:spacing w:before="0" w:after="160"/>
                                    <w:rPr/>
                                  </w:pPr>
                                  <w:r>
                                    <w:rPr>
                                      <w:rStyle w:val="StrongEmphasis"/>
                                    </w:rPr>
                                    <w:t>Humphries G.R.W.,</w:t>
                                  </w:r>
                                  <w:r>
                                    <w:rPr/>
                                    <w:t> Huettmann, F., Deal, C., Atkinson, D., and Nevitt, G. 2012. Species Distribution Modeling of Storm-Petrels (Oceanodroma furcata and O. leucorhoa) in the North Pacific and the role of dimethylsulfide. Polar Biology. 35(11): 1669-1680. DOI: 10.1007/s00300-012-1207-2</w:t>
                                  </w:r>
                                </w:p>
                              </w:tc>
                            </w:tr>
                            <w:tr>
                              <w:trPr/>
                              <w:tc>
                                <w:tcPr>
                                  <w:tcW w:w="475" w:type="dxa"/>
                                  <w:tcBorders/>
                                  <w:shd w:fill="auto" w:val="clear"/>
                                  <w:vAlign w:val="center"/>
                                </w:tcPr>
                                <w:p>
                                  <w:pPr>
                                    <w:pStyle w:val="TableContents"/>
                                    <w:spacing w:before="0" w:after="160"/>
                                    <w:rPr/>
                                  </w:pPr>
                                  <w:r>
                                    <w:rPr/>
                                    <w:t>4</w:t>
                                  </w:r>
                                </w:p>
                              </w:tc>
                              <w:tc>
                                <w:tcPr>
                                  <w:tcW w:w="8885" w:type="dxa"/>
                                  <w:tcBorders/>
                                  <w:shd w:fill="auto" w:val="clear"/>
                                  <w:vAlign w:val="center"/>
                                </w:tcPr>
                                <w:p>
                                  <w:pPr>
                                    <w:pStyle w:val="TableContents"/>
                                    <w:spacing w:before="0" w:after="160"/>
                                    <w:rPr/>
                                  </w:pPr>
                                  <w:r>
                                    <w:rPr>
                                      <w:rStyle w:val="StrongEmphasis"/>
                                    </w:rPr>
                                    <w:t>Humphries G.R.W.,</w:t>
                                  </w:r>
                                  <w:r>
                                    <w:rPr/>
                                    <w:t> Deal C., Elliott S., Huettmann F. 2012. Spatial predictions of sea surface Dimethylsulfide concentrations in the high Arctic. Biogeochemistry. 110(1-3): 287-301DOI: 10.1007/s10533-011-9683-y</w:t>
                                  </w:r>
                                </w:p>
                              </w:tc>
                            </w:tr>
                            <w:tr>
                              <w:trPr/>
                              <w:tc>
                                <w:tcPr>
                                  <w:tcW w:w="475" w:type="dxa"/>
                                  <w:tcBorders/>
                                  <w:shd w:fill="auto" w:val="clear"/>
                                  <w:vAlign w:val="center"/>
                                </w:tcPr>
                                <w:p>
                                  <w:pPr>
                                    <w:pStyle w:val="TableContents"/>
                                    <w:spacing w:before="0" w:after="160"/>
                                    <w:rPr/>
                                  </w:pPr>
                                  <w:r>
                                    <w:rPr/>
                                    <w:t>3</w:t>
                                  </w:r>
                                </w:p>
                              </w:tc>
                              <w:tc>
                                <w:tcPr>
                                  <w:tcW w:w="8885" w:type="dxa"/>
                                  <w:tcBorders/>
                                  <w:shd w:fill="auto" w:val="clear"/>
                                  <w:vAlign w:val="center"/>
                                </w:tcPr>
                                <w:p>
                                  <w:pPr>
                                    <w:pStyle w:val="TableContents"/>
                                    <w:spacing w:before="0" w:after="160"/>
                                    <w:rPr/>
                                  </w:pPr>
                                  <w:r>
                                    <w:rPr/>
                                    <w:t>Elliott S., Deal C., </w:t>
                                  </w:r>
                                  <w:r>
                                    <w:rPr>
                                      <w:rStyle w:val="StrongEmphasis"/>
                                    </w:rPr>
                                    <w:t>Humphries G.R.W.,</w:t>
                                  </w:r>
                                  <w:r>
                                    <w:rPr/>
                                    <w:t> Hunke E., Jeffery N., Jin M., Levasseur M., Stefels J. 2011. Pan-Arctic Simulation of Coupled Nutrient-Sulfur Cycling due to Sea Ice Biology. Journal of Geophysical Research. 117 (G01016). DOI: 10.1029/2011JG001649</w:t>
                                  </w:r>
                                </w:p>
                              </w:tc>
                            </w:tr>
                            <w:tr>
                              <w:trPr/>
                              <w:tc>
                                <w:tcPr>
                                  <w:tcW w:w="475" w:type="dxa"/>
                                  <w:tcBorders/>
                                  <w:shd w:fill="auto" w:val="clear"/>
                                  <w:vAlign w:val="center"/>
                                </w:tcPr>
                                <w:p>
                                  <w:pPr>
                                    <w:pStyle w:val="TableContents"/>
                                    <w:spacing w:before="0" w:after="160"/>
                                    <w:rPr/>
                                  </w:pPr>
                                  <w:r>
                                    <w:rPr/>
                                    <w:t>2</w:t>
                                  </w:r>
                                </w:p>
                              </w:tc>
                              <w:tc>
                                <w:tcPr>
                                  <w:tcW w:w="8885" w:type="dxa"/>
                                  <w:tcBorders/>
                                  <w:shd w:fill="auto" w:val="clear"/>
                                  <w:vAlign w:val="center"/>
                                </w:tcPr>
                                <w:p>
                                  <w:pPr>
                                    <w:pStyle w:val="TableContents"/>
                                    <w:spacing w:before="0" w:after="160"/>
                                    <w:rPr/>
                                  </w:pPr>
                                  <w:r>
                                    <w:rPr/>
                                    <w:t>Huettmann F., Arthukin Y., Gilg O., </w:t>
                                  </w:r>
                                  <w:r>
                                    <w:rPr>
                                      <w:rStyle w:val="StrongEmphasis"/>
                                    </w:rPr>
                                    <w:t>Humphries G.R.W.</w:t>
                                  </w:r>
                                  <w:r>
                                    <w:rPr/>
                                    <w:t> 2011. Predictions of 27 circumpolar pelagic seabird distributions using public environmental variables, assessed with compiled public colony data: a first IPY and GBIF Open Access synthesis platform for a sustainable management. Marine Biodiversity. 41(1): 141-179</w:t>
                                  </w:r>
                                </w:p>
                              </w:tc>
                            </w:tr>
                            <w:tr>
                              <w:trPr/>
                              <w:tc>
                                <w:tcPr>
                                  <w:tcW w:w="475" w:type="dxa"/>
                                  <w:tcBorders/>
                                  <w:shd w:fill="auto" w:val="clear"/>
                                  <w:vAlign w:val="center"/>
                                </w:tcPr>
                                <w:p>
                                  <w:pPr>
                                    <w:pStyle w:val="TableContents"/>
                                    <w:spacing w:before="0" w:after="160"/>
                                    <w:rPr/>
                                  </w:pPr>
                                  <w:r>
                                    <w:rPr/>
                                    <w:t>1</w:t>
                                  </w:r>
                                </w:p>
                              </w:tc>
                              <w:tc>
                                <w:tcPr>
                                  <w:tcW w:w="8885" w:type="dxa"/>
                                  <w:tcBorders/>
                                  <w:shd w:fill="auto" w:val="clear"/>
                                  <w:vAlign w:val="center"/>
                                </w:tcPr>
                                <w:p>
                                  <w:pPr>
                                    <w:pStyle w:val="TableContents"/>
                                    <w:spacing w:before="0" w:after="160"/>
                                    <w:rPr/>
                                  </w:pPr>
                                  <w:r>
                                    <w:rPr>
                                      <w:rStyle w:val="StrongEmphasis"/>
                                    </w:rPr>
                                    <w:t>Humphries G.R.W., </w:t>
                                  </w:r>
                                  <w:r>
                                    <w:rPr/>
                                    <w:t>Huettmann F. 2011. Chapter 10: Issues with, and history of, Arctic seabird protection, new Shipping Lanes, Big Oil and Climate Change In: Polar Conservation. Huettmann (Ed.) Springer Japan. Pp 217</w:t>
                                  </w:r>
                                </w:p>
                              </w:tc>
                            </w:tr>
                          </w:tbl>
                        </w:txbxContent>
                      </wps:txbx>
                      <wps:bodyPr anchor="t" lIns="0" tIns="0" rIns="0" bIns="0">
                        <a:spAutoFit/>
                      </wps:bodyPr>
                    </wps:wsp>
                  </a:graphicData>
                </a:graphic>
              </wp:anchor>
            </w:drawing>
          </mc:Choice>
          <mc:Fallback>
            <w:pict>
              <v:rect style="position:absolute;rotation:0;width:468pt;height:792pt;mso-wrap-distance-left:0pt;mso-wrap-distance-right:0pt;mso-wrap-distance-top:0pt;mso-wrap-distance-bottom:0pt;margin-top:-72pt;mso-position-vertical:top;mso-position-vertical-relative:text;margin-left:0pt;mso-position-horizontal:right;mso-position-horizontal-relative:text">
                <v:textbox inset="0in,0in,0in,0in">
                  <w:txbxContent>
                    <w:tbl>
                      <w:tblPr>
                        <w:tblW w:w="9360" w:type="dxa"/>
                        <w:jc w:val="left"/>
                        <w:tblInd w:w="75" w:type="dxa"/>
                        <w:tblBorders/>
                        <w:tblCellMar>
                          <w:top w:w="75" w:type="dxa"/>
                          <w:left w:w="75" w:type="dxa"/>
                          <w:bottom w:w="75" w:type="dxa"/>
                          <w:right w:w="75" w:type="dxa"/>
                        </w:tblCellMar>
                      </w:tblPr>
                      <w:tblGrid>
                        <w:gridCol w:w="475"/>
                        <w:gridCol w:w="8885"/>
                      </w:tblGrid>
                      <w:tr>
                        <w:trPr/>
                        <w:tc>
                          <w:tcPr>
                            <w:tcW w:w="475" w:type="dxa"/>
                            <w:tcBorders/>
                            <w:shd w:fill="auto" w:val="clear"/>
                            <w:vAlign w:val="center"/>
                          </w:tcPr>
                          <w:p>
                            <w:pPr>
                              <w:pStyle w:val="TableContents"/>
                              <w:spacing w:before="0" w:after="160"/>
                              <w:rPr/>
                            </w:pPr>
                            <w:r>
                              <w:rPr/>
                              <w:t>20</w:t>
                            </w:r>
                          </w:p>
                        </w:tc>
                        <w:tc>
                          <w:tcPr>
                            <w:tcW w:w="8885" w:type="dxa"/>
                            <w:tcBorders/>
                            <w:shd w:fill="auto" w:val="clear"/>
                            <w:vAlign w:val="center"/>
                          </w:tcPr>
                          <w:p>
                            <w:pPr>
                              <w:pStyle w:val="TableContents"/>
                              <w:spacing w:before="0" w:after="160"/>
                              <w:rPr/>
                            </w:pPr>
                            <w:r>
                              <w:rPr/>
                              <w:t>Harris S., Barringer J., Fowler S., Groenteman R., </w:t>
                            </w:r>
                            <w:r>
                              <w:rPr>
                                <w:rStyle w:val="StrongEmphasis"/>
                              </w:rPr>
                              <w:t>Humphries G.R.W. </w:t>
                            </w:r>
                            <w:r>
                              <w:rPr/>
                              <w:t>The economic benefits from New Zealand’s most successful weed biocontrol programme: an ex post evaluation for St. John’s wort, Hypericum perforatum in South Island pastures. New Zealand Journal of Agricultural Research. Submitted</w:t>
                            </w:r>
                          </w:p>
                        </w:tc>
                      </w:tr>
                      <w:tr>
                        <w:trPr/>
                        <w:tc>
                          <w:tcPr>
                            <w:tcW w:w="475" w:type="dxa"/>
                            <w:tcBorders/>
                            <w:shd w:fill="auto" w:val="clear"/>
                            <w:vAlign w:val="center"/>
                          </w:tcPr>
                          <w:p>
                            <w:pPr>
                              <w:pStyle w:val="TableContents"/>
                              <w:spacing w:before="0" w:after="160"/>
                              <w:rPr/>
                            </w:pPr>
                            <w:r>
                              <w:rPr/>
                              <w:t>19</w:t>
                            </w:r>
                          </w:p>
                        </w:tc>
                        <w:tc>
                          <w:tcPr>
                            <w:tcW w:w="8885" w:type="dxa"/>
                            <w:tcBorders/>
                            <w:shd w:fill="auto" w:val="clear"/>
                            <w:vAlign w:val="center"/>
                          </w:tcPr>
                          <w:p>
                            <w:pPr>
                              <w:pStyle w:val="TableContents"/>
                              <w:spacing w:before="0" w:after="160"/>
                              <w:rPr/>
                            </w:pPr>
                            <w:r>
                              <w:rPr>
                                <w:rStyle w:val="StrongEmphasis"/>
                              </w:rPr>
                              <w:t>Humphries G.R.W.,</w:t>
                            </w:r>
                            <w:r>
                              <w:rPr/>
                              <w:t> Kappes P.J., Kappes M.A., Orben R.A., Wille M., Mcduie F., Major H., Flemming S.A., Schmid M.S., Hammer S., McOmber K., Hirata, K., Magnusdottir E. Recommendations for Encouraging Recruitment and Retention of Early Career Scientists in Professional Scientific Societies. Marine Ornithology. Submitted</w:t>
                            </w:r>
                          </w:p>
                        </w:tc>
                      </w:tr>
                      <w:tr>
                        <w:trPr/>
                        <w:tc>
                          <w:tcPr>
                            <w:tcW w:w="475" w:type="dxa"/>
                            <w:tcBorders/>
                            <w:shd w:fill="auto" w:val="clear"/>
                            <w:vAlign w:val="center"/>
                          </w:tcPr>
                          <w:p>
                            <w:pPr>
                              <w:pStyle w:val="TableContents"/>
                              <w:spacing w:before="0" w:after="160"/>
                              <w:rPr/>
                            </w:pPr>
                            <w:r>
                              <w:rPr/>
                              <w:t>18</w:t>
                            </w:r>
                          </w:p>
                        </w:tc>
                        <w:tc>
                          <w:tcPr>
                            <w:tcW w:w="8885" w:type="dxa"/>
                            <w:tcBorders/>
                            <w:shd w:fill="auto" w:val="clear"/>
                            <w:vAlign w:val="center"/>
                          </w:tcPr>
                          <w:p>
                            <w:pPr>
                              <w:pStyle w:val="TableContents"/>
                              <w:spacing w:before="0" w:after="160"/>
                              <w:rPr/>
                            </w:pPr>
                            <w:r>
                              <w:rPr>
                                <w:rStyle w:val="StrongEmphasis"/>
                              </w:rPr>
                              <w:t>Humphries G.R.W.,</w:t>
                            </w:r>
                            <w:r>
                              <w:rPr/>
                              <w:t> Moller H. Fortune telling seabirds: Sooty shearwater (Tītī; Puffinus griseus) harvest data as a predictor of shifts in Pacific climate indices. Marine Ecology Progress Series. Submitted</w:t>
                            </w:r>
                          </w:p>
                        </w:tc>
                      </w:tr>
                      <w:tr>
                        <w:trPr/>
                        <w:tc>
                          <w:tcPr>
                            <w:tcW w:w="475" w:type="dxa"/>
                            <w:tcBorders/>
                            <w:shd w:fill="auto" w:val="clear"/>
                            <w:vAlign w:val="center"/>
                          </w:tcPr>
                          <w:p>
                            <w:pPr>
                              <w:pStyle w:val="TableContents"/>
                              <w:spacing w:before="0" w:after="160"/>
                              <w:rPr/>
                            </w:pPr>
                            <w:r>
                              <w:rPr/>
                              <w:t>17</w:t>
                            </w:r>
                          </w:p>
                        </w:tc>
                        <w:tc>
                          <w:tcPr>
                            <w:tcW w:w="8885" w:type="dxa"/>
                            <w:tcBorders/>
                            <w:shd w:fill="auto" w:val="clear"/>
                            <w:vAlign w:val="center"/>
                          </w:tcPr>
                          <w:p>
                            <w:pPr>
                              <w:pStyle w:val="TableContents"/>
                              <w:spacing w:before="0" w:after="160"/>
                              <w:rPr/>
                            </w:pPr>
                            <w:r>
                              <w:rPr/>
                              <w:t>Joiris C.R., </w:t>
                            </w:r>
                            <w:r>
                              <w:rPr>
                                <w:rStyle w:val="StrongEmphasis"/>
                              </w:rPr>
                              <w:t>Humphries G.R.W., </w:t>
                            </w:r>
                            <w:r>
                              <w:rPr/>
                              <w:t>D’Hert D., Lafontaine R-M., Robert H., Beudels-Jamar R.C. A major autumn aggregation of southern right whales Eubalaena australis, Antarctic fur seals Arctocephalus gazelle and Antarctic prions Pachyptila desolata around South Georgia, Scotia Sea. Advances in Polar Research. In Press</w:t>
                            </w:r>
                          </w:p>
                        </w:tc>
                      </w:tr>
                      <w:tr>
                        <w:trPr/>
                        <w:tc>
                          <w:tcPr>
                            <w:tcW w:w="475" w:type="dxa"/>
                            <w:tcBorders/>
                            <w:shd w:fill="auto" w:val="clear"/>
                            <w:vAlign w:val="center"/>
                          </w:tcPr>
                          <w:p>
                            <w:pPr>
                              <w:pStyle w:val="TableContents"/>
                              <w:spacing w:before="0" w:after="160"/>
                              <w:rPr/>
                            </w:pPr>
                            <w:r>
                              <w:rPr/>
                              <w:t>16</w:t>
                            </w:r>
                          </w:p>
                        </w:tc>
                        <w:tc>
                          <w:tcPr>
                            <w:tcW w:w="8885" w:type="dxa"/>
                            <w:tcBorders/>
                            <w:shd w:fill="auto" w:val="clear"/>
                            <w:vAlign w:val="center"/>
                          </w:tcPr>
                          <w:p>
                            <w:pPr>
                              <w:pStyle w:val="TableContents"/>
                              <w:spacing w:before="0" w:after="160"/>
                              <w:rPr/>
                            </w:pPr>
                            <w:r>
                              <w:rPr/>
                              <w:t>Joiris C.R., </w:t>
                            </w:r>
                            <w:r>
                              <w:rPr>
                                <w:rStyle w:val="StrongEmphasis"/>
                              </w:rPr>
                              <w:t>Humphries G.R.W.,</w:t>
                            </w:r>
                            <w:r>
                              <w:rPr/>
                              <w:t> De Broyer A. Marine mammals encountered along return transects between South Africa and Antarctica in summer in relation to hydrological features. Advances in Polar Science. In Press</w:t>
                            </w:r>
                          </w:p>
                        </w:tc>
                      </w:tr>
                      <w:tr>
                        <w:trPr/>
                        <w:tc>
                          <w:tcPr>
                            <w:tcW w:w="475" w:type="dxa"/>
                            <w:tcBorders/>
                            <w:shd w:fill="auto" w:val="clear"/>
                            <w:vAlign w:val="center"/>
                          </w:tcPr>
                          <w:p>
                            <w:pPr>
                              <w:pStyle w:val="TableContents"/>
                              <w:spacing w:before="0" w:after="160"/>
                              <w:rPr/>
                            </w:pPr>
                            <w:r>
                              <w:rPr/>
                              <w:t>15</w:t>
                            </w:r>
                          </w:p>
                        </w:tc>
                        <w:tc>
                          <w:tcPr>
                            <w:tcW w:w="8885" w:type="dxa"/>
                            <w:tcBorders/>
                            <w:shd w:fill="auto" w:val="clear"/>
                            <w:vAlign w:val="center"/>
                          </w:tcPr>
                          <w:p>
                            <w:pPr>
                              <w:pStyle w:val="TableContents"/>
                              <w:spacing w:before="0" w:after="160"/>
                              <w:rPr/>
                            </w:pPr>
                            <w:r>
                              <w:rPr/>
                              <w:t>Hart K.A., Choi C-Y., Bond A.L., </w:t>
                            </w:r>
                            <w:r>
                              <w:rPr>
                                <w:rStyle w:val="StrongEmphasis"/>
                              </w:rPr>
                              <w:t>Humphries G.R.W.,</w:t>
                            </w:r>
                            <w:r>
                              <w:rPr/>
                              <w:t> Yoo J-C., Nam K-B. The distribution and status of the streaked shearwater (Calonectris leucomelas) in the Korean Peninsula. The Forktail. In Press</w:t>
                            </w:r>
                          </w:p>
                        </w:tc>
                      </w:tr>
                      <w:tr>
                        <w:trPr/>
                        <w:tc>
                          <w:tcPr>
                            <w:tcW w:w="475" w:type="dxa"/>
                            <w:tcBorders/>
                            <w:shd w:fill="auto" w:val="clear"/>
                            <w:vAlign w:val="center"/>
                          </w:tcPr>
                          <w:p>
                            <w:pPr>
                              <w:pStyle w:val="TableContents"/>
                              <w:spacing w:before="0" w:after="160"/>
                              <w:rPr/>
                            </w:pPr>
                            <w:r>
                              <w:rPr/>
                              <w:t>14</w:t>
                            </w:r>
                          </w:p>
                        </w:tc>
                        <w:tc>
                          <w:tcPr>
                            <w:tcW w:w="8885" w:type="dxa"/>
                            <w:tcBorders/>
                            <w:shd w:fill="auto" w:val="clear"/>
                            <w:vAlign w:val="center"/>
                          </w:tcPr>
                          <w:p>
                            <w:pPr>
                              <w:pStyle w:val="TableContents"/>
                              <w:spacing w:before="0" w:after="160"/>
                              <w:rPr/>
                            </w:pPr>
                            <w:r>
                              <w:rPr/>
                              <w:t>Huettmann, F., Schmid, M., </w:t>
                            </w:r>
                            <w:r>
                              <w:rPr>
                                <w:rStyle w:val="StrongEmphasis"/>
                              </w:rPr>
                              <w:t>Humphries, G.R.W.​</w:t>
                            </w:r>
                            <w:r>
                              <w:rPr/>
                              <w:t> 2015. A first overview of open access digital wilderness data for the Ross Sea: New Complexities, Management Opportunities and an additional set of Ethical Dilemmas during Globalization. Hydrobiologica. 761:97 - 119. DOI 10.1007/s10750-015-2520-x</w:t>
                            </w:r>
                          </w:p>
                        </w:tc>
                      </w:tr>
                      <w:tr>
                        <w:trPr/>
                        <w:tc>
                          <w:tcPr>
                            <w:tcW w:w="475" w:type="dxa"/>
                            <w:tcBorders/>
                            <w:shd w:fill="auto" w:val="clear"/>
                            <w:vAlign w:val="center"/>
                          </w:tcPr>
                          <w:p>
                            <w:pPr>
                              <w:pStyle w:val="TableContents"/>
                              <w:spacing w:before="0" w:after="160"/>
                              <w:rPr/>
                            </w:pPr>
                            <w:r>
                              <w:rPr/>
                              <w:t>13</w:t>
                            </w:r>
                          </w:p>
                        </w:tc>
                        <w:tc>
                          <w:tcPr>
                            <w:tcW w:w="8885" w:type="dxa"/>
                            <w:tcBorders/>
                            <w:shd w:fill="auto" w:val="clear"/>
                            <w:vAlign w:val="center"/>
                          </w:tcPr>
                          <w:p>
                            <w:pPr>
                              <w:pStyle w:val="TableContents"/>
                              <w:spacing w:before="0" w:after="160"/>
                              <w:rPr/>
                            </w:pPr>
                            <w:r>
                              <w:rPr>
                                <w:rStyle w:val="StrongEmphasis"/>
                              </w:rPr>
                              <w:t>Humphries G.R.W</w:t>
                            </w:r>
                            <w:r>
                              <w:rPr/>
                              <w:t>. 2015. Estimating regions of oceanographic importance for seabirds using a-spatial data. PLoS ONE. 10(9): e0137241. DOI: 10.1371/journal.pone.0137241</w:t>
                            </w:r>
                          </w:p>
                        </w:tc>
                      </w:tr>
                      <w:tr>
                        <w:trPr/>
                        <w:tc>
                          <w:tcPr>
                            <w:tcW w:w="475" w:type="dxa"/>
                            <w:tcBorders/>
                            <w:shd w:fill="auto" w:val="clear"/>
                            <w:vAlign w:val="center"/>
                          </w:tcPr>
                          <w:p>
                            <w:pPr>
                              <w:pStyle w:val="TableContents"/>
                              <w:spacing w:before="0" w:after="160"/>
                              <w:rPr/>
                            </w:pPr>
                            <w:r>
                              <w:rPr/>
                              <w:t>12</w:t>
                            </w:r>
                          </w:p>
                        </w:tc>
                        <w:tc>
                          <w:tcPr>
                            <w:tcW w:w="8885" w:type="dxa"/>
                            <w:tcBorders/>
                            <w:shd w:fill="auto" w:val="clear"/>
                            <w:vAlign w:val="center"/>
                          </w:tcPr>
                          <w:p>
                            <w:pPr>
                              <w:pStyle w:val="TableContents"/>
                              <w:spacing w:before="0" w:after="160"/>
                              <w:rPr/>
                            </w:pPr>
                            <w:r>
                              <w:rPr>
                                <w:rStyle w:val="StrongEmphasis"/>
                              </w:rPr>
                              <w:t>Humphries G.R.W.,</w:t>
                            </w:r>
                            <w:r>
                              <w:rPr/>
                              <w:t> Velarde, E., Anderson, D.W., Haase, B., Sydeman, W.J. 2015. Seabirds as early warning indicators of climate events in the Pacific. PICES Press. Vol 23. No.1 pp 18 </w:t>
                            </w:r>
                          </w:p>
                        </w:tc>
                      </w:tr>
                      <w:tr>
                        <w:trPr/>
                        <w:tc>
                          <w:tcPr>
                            <w:tcW w:w="475" w:type="dxa"/>
                            <w:tcBorders/>
                            <w:shd w:fill="auto" w:val="clear"/>
                            <w:vAlign w:val="center"/>
                          </w:tcPr>
                          <w:p>
                            <w:pPr>
                              <w:pStyle w:val="TableContents"/>
                              <w:spacing w:before="0" w:after="160"/>
                              <w:rPr/>
                            </w:pPr>
                            <w:r>
                              <w:rPr/>
                              <w:t>11</w:t>
                            </w:r>
                          </w:p>
                        </w:tc>
                        <w:tc>
                          <w:tcPr>
                            <w:tcW w:w="8885" w:type="dxa"/>
                            <w:tcBorders/>
                            <w:shd w:fill="auto" w:val="clear"/>
                            <w:vAlign w:val="center"/>
                          </w:tcPr>
                          <w:p>
                            <w:pPr>
                              <w:pStyle w:val="TableContents"/>
                              <w:spacing w:before="0" w:after="160"/>
                              <w:rPr/>
                            </w:pPr>
                            <w:r>
                              <w:rPr>
                                <w:rStyle w:val="StrongEmphasis"/>
                              </w:rPr>
                              <w:t>Humphries G.R.W.,</w:t>
                            </w:r>
                            <w:r>
                              <w:rPr/>
                              <w:t> F. Huettmann. 2014. Arctic Seabirds: In: A. Hund (ed.) Antarctica andthe Arctic Circle: A Geographic Encyclopedia of the Earth's Polar Regions. Vol 1. pp. 95-98. http://www.abc-clio.com/.</w:t>
                            </w:r>
                          </w:p>
                        </w:tc>
                      </w:tr>
                      <w:tr>
                        <w:trPr/>
                        <w:tc>
                          <w:tcPr>
                            <w:tcW w:w="475" w:type="dxa"/>
                            <w:tcBorders/>
                            <w:shd w:fill="auto" w:val="clear"/>
                            <w:vAlign w:val="center"/>
                          </w:tcPr>
                          <w:p>
                            <w:pPr>
                              <w:pStyle w:val="TableContents"/>
                              <w:spacing w:before="0" w:after="160"/>
                              <w:rPr/>
                            </w:pPr>
                            <w:r>
                              <w:rPr/>
                              <w:t>10</w:t>
                            </w:r>
                          </w:p>
                        </w:tc>
                        <w:tc>
                          <w:tcPr>
                            <w:tcW w:w="8885" w:type="dxa"/>
                            <w:tcBorders/>
                            <w:shd w:fill="auto" w:val="clear"/>
                            <w:vAlign w:val="center"/>
                          </w:tcPr>
                          <w:p>
                            <w:pPr>
                              <w:pStyle w:val="TableContents"/>
                              <w:spacing w:before="0" w:after="160"/>
                              <w:rPr/>
                            </w:pPr>
                            <w:r>
                              <w:rPr/>
                              <w:t>Abraham E., Agnew D., Agnew P., Aikman H., Allen N., Angus I., Baird K., Baker B., Barnard T., Bartle S., Beauchamp T., Bell B., Bell B., Bell M., Bellingham M., Berg M., Bettesworth D., Bevin B., Bird J., Blyth R., Borrelle S., Borker A., Bradfield P., Britton M., Buurman D., Buurman L., Chappell R., Cockburn S., Cooper W., Cranwell S., Cronin E., Crossland A., Croxall J., Cryer M., Cuming P., Debski I., Dennis T., Deppe L., Dobbins P., Dowding J., Dunnett B., Edmonds H., Ellenburg U., Elliot G., Esler L., Fitter J., Fitzgerald N., Fleming A., Freeman D., Frost P., Galbraith M., Garson L., Gaze P., Gordon D., Goldsworthy R., Grant A., Greene B., Hackwell K., Haley M., Hand K., Hawkins K., Heaphy J. Higham T., Hiscock J., Hopkins C., Houston D., Hughey K., </w:t>
                            </w:r>
                            <w:r>
                              <w:rPr>
                                <w:rStyle w:val="StrongEmphasis"/>
                              </w:rPr>
                              <w:t>Humphries G.R.W., </w:t>
                            </w:r>
                            <w:r>
                              <w:rPr/>
                              <w:t>Irvine J. and Ismar S.M.H. (2014) New Zealand Seabirds : Important Bird Areas and Conservation The Royal Forest &amp; Bird Protection Society of New Zealand, Wellington, New Zealand. ISBN 978-0-473-28521-0</w:t>
                            </w:r>
                          </w:p>
                        </w:tc>
                      </w:tr>
                      <w:tr>
                        <w:trPr/>
                        <w:tc>
                          <w:tcPr>
                            <w:tcW w:w="475" w:type="dxa"/>
                            <w:tcBorders/>
                            <w:shd w:fill="auto" w:val="clear"/>
                            <w:vAlign w:val="center"/>
                          </w:tcPr>
                          <w:p>
                            <w:pPr>
                              <w:pStyle w:val="TableContents"/>
                              <w:spacing w:before="0" w:after="160"/>
                              <w:rPr/>
                            </w:pPr>
                            <w:r>
                              <w:rPr/>
                              <w:t>9</w:t>
                            </w:r>
                          </w:p>
                        </w:tc>
                        <w:tc>
                          <w:tcPr>
                            <w:tcW w:w="8885" w:type="dxa"/>
                            <w:tcBorders/>
                            <w:shd w:fill="auto" w:val="clear"/>
                            <w:vAlign w:val="center"/>
                          </w:tcPr>
                          <w:p>
                            <w:pPr>
                              <w:pStyle w:val="TableContents"/>
                              <w:spacing w:before="0" w:after="160"/>
                              <w:rPr/>
                            </w:pPr>
                            <w:r>
                              <w:rPr>
                                <w:rStyle w:val="StrongEmphasis"/>
                              </w:rPr>
                              <w:t>Humphries G.R.W.,</w:t>
                            </w:r>
                            <w:r>
                              <w:rPr/>
                              <w:t> Bragg, C., Overton, J., Lyver P., Moller, H. 2014. Pattern recognition in long-term sooty shearwater (Puffinus griseus) data: applying machine learning to create a harvest index. Ecological Applications. 24(8): 2107-2121. DOI 10.1890/13-2023.1</w:t>
                            </w:r>
                          </w:p>
                        </w:tc>
                      </w:tr>
                      <w:tr>
                        <w:trPr/>
                        <w:tc>
                          <w:tcPr>
                            <w:tcW w:w="475" w:type="dxa"/>
                            <w:tcBorders/>
                            <w:shd w:fill="auto" w:val="clear"/>
                            <w:vAlign w:val="center"/>
                          </w:tcPr>
                          <w:p>
                            <w:pPr>
                              <w:pStyle w:val="TableContents"/>
                              <w:spacing w:before="0" w:after="160"/>
                              <w:rPr/>
                            </w:pPr>
                            <w:r>
                              <w:rPr/>
                              <w:t>8</w:t>
                            </w:r>
                          </w:p>
                        </w:tc>
                        <w:tc>
                          <w:tcPr>
                            <w:tcW w:w="8885" w:type="dxa"/>
                            <w:tcBorders/>
                            <w:shd w:fill="auto" w:val="clear"/>
                            <w:vAlign w:val="center"/>
                          </w:tcPr>
                          <w:p>
                            <w:pPr>
                              <w:pStyle w:val="TableContents"/>
                              <w:spacing w:before="0" w:after="160"/>
                              <w:rPr/>
                            </w:pPr>
                            <w:r>
                              <w:rPr>
                                <w:rStyle w:val="StrongEmphasis"/>
                              </w:rPr>
                              <w:t>Humphries G.R.W.,</w:t>
                            </w:r>
                            <w:r>
                              <w:rPr/>
                              <w:t> Huettmann F. 2014. Putting models to a good use: Arctic seabird predictions indicate heavy conflicts with proposed and current shipping lanes. Diversity and Distributions. 20(4): 478-490. DOI: 10.1111/ddi.12177</w:t>
                            </w:r>
                          </w:p>
                        </w:tc>
                      </w:tr>
                      <w:tr>
                        <w:trPr/>
                        <w:tc>
                          <w:tcPr>
                            <w:tcW w:w="475" w:type="dxa"/>
                            <w:tcBorders/>
                            <w:shd w:fill="auto" w:val="clear"/>
                            <w:vAlign w:val="center"/>
                          </w:tcPr>
                          <w:p>
                            <w:pPr>
                              <w:pStyle w:val="TableContents"/>
                              <w:spacing w:before="0" w:after="160"/>
                              <w:rPr/>
                            </w:pPr>
                            <w:r>
                              <w:rPr/>
                              <w:t>7</w:t>
                            </w:r>
                          </w:p>
                        </w:tc>
                        <w:tc>
                          <w:tcPr>
                            <w:tcW w:w="8885" w:type="dxa"/>
                            <w:tcBorders/>
                            <w:shd w:fill="auto" w:val="clear"/>
                            <w:vAlign w:val="center"/>
                          </w:tcPr>
                          <w:p>
                            <w:pPr>
                              <w:pStyle w:val="TableContents"/>
                              <w:spacing w:before="0" w:after="160"/>
                              <w:rPr/>
                            </w:pPr>
                            <w:r>
                              <w:rPr/>
                              <w:t>Joiris C.R., </w:t>
                            </w:r>
                            <w:r>
                              <w:rPr>
                                <w:rStyle w:val="StrongEmphasis"/>
                              </w:rPr>
                              <w:t>Humphries G.R.W.,</w:t>
                            </w:r>
                            <w:r>
                              <w:rPr/>
                              <w:t> De Broyer A. 2013. Seabirds encountered along return transects between South Africa and Antarctic in summer in relation to hydrological features. Polar Biology. 36(11): 1633-1647. DOI: 10.1007/s00300-013-1382-9</w:t>
                            </w:r>
                          </w:p>
                        </w:tc>
                      </w:tr>
                      <w:tr>
                        <w:trPr/>
                        <w:tc>
                          <w:tcPr>
                            <w:tcW w:w="475" w:type="dxa"/>
                            <w:tcBorders/>
                            <w:shd w:fill="auto" w:val="clear"/>
                            <w:vAlign w:val="center"/>
                          </w:tcPr>
                          <w:p>
                            <w:pPr>
                              <w:pStyle w:val="TableContents"/>
                              <w:spacing w:before="0" w:after="160"/>
                              <w:rPr/>
                            </w:pPr>
                            <w:r>
                              <w:rPr/>
                              <w:t>6</w:t>
                            </w:r>
                          </w:p>
                        </w:tc>
                        <w:tc>
                          <w:tcPr>
                            <w:tcW w:w="8885" w:type="dxa"/>
                            <w:tcBorders/>
                            <w:shd w:fill="auto" w:val="clear"/>
                            <w:vAlign w:val="center"/>
                          </w:tcPr>
                          <w:p>
                            <w:pPr>
                              <w:pStyle w:val="TableContents"/>
                              <w:spacing w:before="0" w:after="160"/>
                              <w:rPr/>
                            </w:pPr>
                            <w:r>
                              <w:rPr/>
                              <w:t>Baltensperger A.P., Mullet T.C., Schmid M.S., </w:t>
                            </w:r>
                            <w:r>
                              <w:rPr>
                                <w:rStyle w:val="StrongEmphasis"/>
                              </w:rPr>
                              <w:t>Humphries G.R.W.,</w:t>
                            </w:r>
                            <w:r>
                              <w:rPr/>
                              <w:t> Kövér L., Huettmann F. 2013. Seasonal observations and machine-learning-based spatial model predictions for the common raven (Corvus corax) in the urban, subarctic environment of Fairbanks, Alaska. Polar Biology. 36(11): 1587-1599. DOI: 10.1007/s00300-013-1376-7</w:t>
                            </w:r>
                          </w:p>
                        </w:tc>
                      </w:tr>
                      <w:tr>
                        <w:trPr/>
                        <w:tc>
                          <w:tcPr>
                            <w:tcW w:w="475" w:type="dxa"/>
                            <w:tcBorders/>
                            <w:shd w:fill="auto" w:val="clear"/>
                            <w:vAlign w:val="center"/>
                          </w:tcPr>
                          <w:p>
                            <w:pPr>
                              <w:pStyle w:val="TableContents"/>
                              <w:spacing w:before="0" w:after="160"/>
                              <w:rPr/>
                            </w:pPr>
                            <w:r>
                              <w:rPr/>
                              <w:t>5</w:t>
                            </w:r>
                          </w:p>
                        </w:tc>
                        <w:tc>
                          <w:tcPr>
                            <w:tcW w:w="8885" w:type="dxa"/>
                            <w:tcBorders/>
                            <w:shd w:fill="auto" w:val="clear"/>
                            <w:vAlign w:val="center"/>
                          </w:tcPr>
                          <w:p>
                            <w:pPr>
                              <w:pStyle w:val="TableContents"/>
                              <w:spacing w:before="0" w:after="160"/>
                              <w:rPr/>
                            </w:pPr>
                            <w:r>
                              <w:rPr>
                                <w:rStyle w:val="StrongEmphasis"/>
                              </w:rPr>
                              <w:t>Humphries G.R.W.,</w:t>
                            </w:r>
                            <w:r>
                              <w:rPr/>
                              <w:t> Huettmann, F., Deal, C., Atkinson, D., and Nevitt, G. 2012. Species Distribution Modeling of Storm-Petrels (Oceanodroma furcata and O. leucorhoa) in the North Pacific and the role of dimethylsulfide. Polar Biology. 35(11): 1669-1680. DOI: 10.1007/s00300-012-1207-2</w:t>
                            </w:r>
                          </w:p>
                        </w:tc>
                      </w:tr>
                      <w:tr>
                        <w:trPr/>
                        <w:tc>
                          <w:tcPr>
                            <w:tcW w:w="475" w:type="dxa"/>
                            <w:tcBorders/>
                            <w:shd w:fill="auto" w:val="clear"/>
                            <w:vAlign w:val="center"/>
                          </w:tcPr>
                          <w:p>
                            <w:pPr>
                              <w:pStyle w:val="TableContents"/>
                              <w:spacing w:before="0" w:after="160"/>
                              <w:rPr/>
                            </w:pPr>
                            <w:r>
                              <w:rPr/>
                              <w:t>4</w:t>
                            </w:r>
                          </w:p>
                        </w:tc>
                        <w:tc>
                          <w:tcPr>
                            <w:tcW w:w="8885" w:type="dxa"/>
                            <w:tcBorders/>
                            <w:shd w:fill="auto" w:val="clear"/>
                            <w:vAlign w:val="center"/>
                          </w:tcPr>
                          <w:p>
                            <w:pPr>
                              <w:pStyle w:val="TableContents"/>
                              <w:spacing w:before="0" w:after="160"/>
                              <w:rPr/>
                            </w:pPr>
                            <w:r>
                              <w:rPr>
                                <w:rStyle w:val="StrongEmphasis"/>
                              </w:rPr>
                              <w:t>Humphries G.R.W.,</w:t>
                            </w:r>
                            <w:r>
                              <w:rPr/>
                              <w:t> Deal C., Elliott S., Huettmann F. 2012. Spatial predictions of sea surface Dimethylsulfide concentrations in the high Arctic. Biogeochemistry. 110(1-3): 287-301DOI: 10.1007/s10533-011-9683-y</w:t>
                            </w:r>
                          </w:p>
                        </w:tc>
                      </w:tr>
                      <w:tr>
                        <w:trPr/>
                        <w:tc>
                          <w:tcPr>
                            <w:tcW w:w="475" w:type="dxa"/>
                            <w:tcBorders/>
                            <w:shd w:fill="auto" w:val="clear"/>
                            <w:vAlign w:val="center"/>
                          </w:tcPr>
                          <w:p>
                            <w:pPr>
                              <w:pStyle w:val="TableContents"/>
                              <w:spacing w:before="0" w:after="160"/>
                              <w:rPr/>
                            </w:pPr>
                            <w:r>
                              <w:rPr/>
                              <w:t>3</w:t>
                            </w:r>
                          </w:p>
                        </w:tc>
                        <w:tc>
                          <w:tcPr>
                            <w:tcW w:w="8885" w:type="dxa"/>
                            <w:tcBorders/>
                            <w:shd w:fill="auto" w:val="clear"/>
                            <w:vAlign w:val="center"/>
                          </w:tcPr>
                          <w:p>
                            <w:pPr>
                              <w:pStyle w:val="TableContents"/>
                              <w:spacing w:before="0" w:after="160"/>
                              <w:rPr/>
                            </w:pPr>
                            <w:r>
                              <w:rPr/>
                              <w:t>Elliott S., Deal C., </w:t>
                            </w:r>
                            <w:r>
                              <w:rPr>
                                <w:rStyle w:val="StrongEmphasis"/>
                              </w:rPr>
                              <w:t>Humphries G.R.W.,</w:t>
                            </w:r>
                            <w:r>
                              <w:rPr/>
                              <w:t> Hunke E., Jeffery N., Jin M., Levasseur M., Stefels J. 2011. Pan-Arctic Simulation of Coupled Nutrient-Sulfur Cycling due to Sea Ice Biology. Journal of Geophysical Research. 117 (G01016). DOI: 10.1029/2011JG001649</w:t>
                            </w:r>
                          </w:p>
                        </w:tc>
                      </w:tr>
                      <w:tr>
                        <w:trPr/>
                        <w:tc>
                          <w:tcPr>
                            <w:tcW w:w="475" w:type="dxa"/>
                            <w:tcBorders/>
                            <w:shd w:fill="auto" w:val="clear"/>
                            <w:vAlign w:val="center"/>
                          </w:tcPr>
                          <w:p>
                            <w:pPr>
                              <w:pStyle w:val="TableContents"/>
                              <w:spacing w:before="0" w:after="160"/>
                              <w:rPr/>
                            </w:pPr>
                            <w:r>
                              <w:rPr/>
                              <w:t>2</w:t>
                            </w:r>
                          </w:p>
                        </w:tc>
                        <w:tc>
                          <w:tcPr>
                            <w:tcW w:w="8885" w:type="dxa"/>
                            <w:tcBorders/>
                            <w:shd w:fill="auto" w:val="clear"/>
                            <w:vAlign w:val="center"/>
                          </w:tcPr>
                          <w:p>
                            <w:pPr>
                              <w:pStyle w:val="TableContents"/>
                              <w:spacing w:before="0" w:after="160"/>
                              <w:rPr/>
                            </w:pPr>
                            <w:r>
                              <w:rPr/>
                              <w:t>Huettmann F., Arthukin Y., Gilg O., </w:t>
                            </w:r>
                            <w:r>
                              <w:rPr>
                                <w:rStyle w:val="StrongEmphasis"/>
                              </w:rPr>
                              <w:t>Humphries G.R.W.</w:t>
                            </w:r>
                            <w:r>
                              <w:rPr/>
                              <w:t> 2011. Predictions of 27 circumpolar pelagic seabird distributions using public environmental variables, assessed with compiled public colony data: a first IPY and GBIF Open Access synthesis platform for a sustainable management. Marine Biodiversity. 41(1): 141-179</w:t>
                            </w:r>
                          </w:p>
                        </w:tc>
                      </w:tr>
                      <w:tr>
                        <w:trPr/>
                        <w:tc>
                          <w:tcPr>
                            <w:tcW w:w="475" w:type="dxa"/>
                            <w:tcBorders/>
                            <w:shd w:fill="auto" w:val="clear"/>
                            <w:vAlign w:val="center"/>
                          </w:tcPr>
                          <w:p>
                            <w:pPr>
                              <w:pStyle w:val="TableContents"/>
                              <w:spacing w:before="0" w:after="160"/>
                              <w:rPr/>
                            </w:pPr>
                            <w:r>
                              <w:rPr/>
                              <w:t>1</w:t>
                            </w:r>
                          </w:p>
                        </w:tc>
                        <w:tc>
                          <w:tcPr>
                            <w:tcW w:w="8885" w:type="dxa"/>
                            <w:tcBorders/>
                            <w:shd w:fill="auto" w:val="clear"/>
                            <w:vAlign w:val="center"/>
                          </w:tcPr>
                          <w:p>
                            <w:pPr>
                              <w:pStyle w:val="TableContents"/>
                              <w:spacing w:before="0" w:after="160"/>
                              <w:rPr/>
                            </w:pPr>
                            <w:r>
                              <w:rPr>
                                <w:rStyle w:val="StrongEmphasis"/>
                              </w:rPr>
                              <w:t>Humphries G.R.W., </w:t>
                            </w:r>
                            <w:r>
                              <w:rPr/>
                              <w:t>Huettmann F. 2011. Chapter 10: Issues with, and history of, Arctic seabird protection, new Shipping Lanes, Big Oil and Climate Change In: Polar Conservation. Huettmann (Ed.) Springer Japan. Pp 217</w:t>
                            </w:r>
                          </w:p>
                        </w:tc>
                      </w:tr>
                    </w:tbl>
                  </w:txbxContent>
                </v:textbox>
                <w10:wrap type="square" side="left"/>
              </v:rect>
            </w:pict>
          </mc:Fallback>
        </mc:AlternateContent>
      </w:r>
    </w:p>
    <w:p>
      <w:pPr>
        <w:pStyle w:val="Normal"/>
        <w:spacing w:lineRule="auto" w:line="240" w:before="0" w:after="0"/>
        <w:rPr>
          <w:rFonts w:ascii="Consolas" w:hAnsi="Consolas" w:cs="Consolas"/>
          <w:color w:val="0000FF"/>
          <w:sz w:val="19"/>
          <w:szCs w:val="19"/>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Application>LibreOffice/5.1.4.2$Linux_X86_64 LibreOffice_project/10m0$Build-2</Application>
  <Pages>4</Pages>
  <Words>926</Words>
  <Characters>7323</Characters>
  <CharactersWithSpaces>8694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2016-12-21T09:39:00Z</dcterms:created>
  <dc:creator>Grant Humphries</dc:creator>
  <dc:description/>
  <dc:language>en-GB</dc:language>
  <cp:lastModifiedBy/>
  <dcterms:modified xsi:type="dcterms:W3CDTF">2017-01-02T08:47:10Z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