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0CA7A">
      <w:pPr>
        <w:spacing w:before="0" w:after="360"/>
      </w:pPr>
    </w:p>
    <w:p w14:paraId="68377036">
      <w:pPr>
        <w:spacing w:before="0" w:after="60"/>
        <w:jc w:val="center"/>
      </w:pPr>
      <w:r>
        <w:rPr>
          <w:rFonts w:ascii="Arial" w:hAnsi="Arial" w:eastAsia="Arial" w:cs="Arial"/>
          <w:b/>
          <w:bCs/>
          <w:color w:val="1F4E79"/>
          <w:sz w:val="56"/>
          <w:szCs w:val="56"/>
        </w:rPr>
        <w:t>MONDAY COFFEE</w:t>
      </w:r>
    </w:p>
    <w:p w14:paraId="607B2186">
      <w:pPr>
        <w:spacing w:before="0" w:after="60"/>
        <w:jc w:val="center"/>
      </w:pPr>
      <w:r>
        <w:rPr>
          <w:rFonts w:ascii="Arial" w:hAnsi="Arial" w:eastAsia="Arial" w:cs="Arial"/>
          <w:b/>
          <w:bCs/>
          <w:color w:val="2E75B6"/>
          <w:sz w:val="30"/>
          <w:szCs w:val="30"/>
        </w:rPr>
        <w:t>Business Performance &amp; Expansion Strategy</w:t>
      </w:r>
    </w:p>
    <w:p w14:paraId="1072DE3C">
      <w:pPr>
        <w:spacing w:before="0" w:after="480"/>
        <w:jc w:val="center"/>
      </w:pPr>
      <w:r>
        <w:rPr>
          <w:rFonts w:ascii="Arial" w:hAnsi="Arial" w:eastAsia="Arial" w:cs="Arial"/>
          <w:i/>
          <w:iCs/>
          <w:color w:val="595959"/>
          <w:sz w:val="22"/>
          <w:szCs w:val="22"/>
        </w:rPr>
        <w:t xml:space="preserve">Executive Summary  |  Board Presentation  | </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27D58AE2">
        <w:tblPrEx>
          <w:tblLayout w:type="fixed"/>
        </w:tblPrEx>
        <w:tc>
          <w:tcPr>
            <w:tcW w:w="2340" w:type="dxa"/>
            <w:tcBorders>
              <w:top w:val="nil"/>
              <w:left w:val="nil"/>
              <w:bottom w:val="nil"/>
              <w:right w:val="nil"/>
            </w:tcBorders>
            <w:shd w:val="clear" w:color="auto" w:fill="1F4E79"/>
            <w:tcMar>
              <w:top w:w="200" w:type="dxa"/>
              <w:left w:w="160" w:type="dxa"/>
              <w:bottom w:w="160" w:type="dxa"/>
              <w:right w:w="160" w:type="dxa"/>
            </w:tcMar>
            <w:vAlign w:val="center"/>
          </w:tcPr>
          <w:p w14:paraId="06A1FAB7">
            <w:pPr>
              <w:jc w:val="center"/>
            </w:pPr>
            <w:r>
              <w:rPr>
                <w:rFonts w:ascii="Arial" w:hAnsi="Arial" w:eastAsia="Arial" w:cs="Arial"/>
                <w:b/>
                <w:bCs/>
                <w:color w:val="FFFFFF"/>
                <w:sz w:val="40"/>
                <w:szCs w:val="40"/>
              </w:rPr>
              <w:t>₹3.86M+</w:t>
            </w:r>
          </w:p>
          <w:p w14:paraId="155198B8">
            <w:pPr>
              <w:spacing w:before="40" w:after="0"/>
              <w:jc w:val="center"/>
            </w:pPr>
            <w:r>
              <w:rPr>
                <w:rFonts w:ascii="Arial" w:hAnsi="Arial" w:eastAsia="Arial" w:cs="Arial"/>
                <w:color w:val="BDD7EE"/>
                <w:sz w:val="18"/>
                <w:szCs w:val="18"/>
              </w:rPr>
              <w:t>Total Revenue (All-Time)</w:t>
            </w:r>
          </w:p>
          <w:p w14:paraId="379ED16C">
            <w:pPr>
              <w:spacing w:before="20" w:after="0"/>
              <w:jc w:val="center"/>
            </w:pPr>
            <w:r>
              <w:rPr>
                <w:rFonts w:ascii="Arial" w:hAnsi="Arial" w:eastAsia="Arial" w:cs="Arial"/>
                <w:i/>
                <w:iCs/>
                <w:color w:val="BDD7EE"/>
                <w:sz w:val="16"/>
                <w:szCs w:val="16"/>
              </w:rPr>
              <w:t>Across all cities</w:t>
            </w:r>
          </w:p>
        </w:tc>
        <w:tc>
          <w:tcPr>
            <w:tcW w:w="2340" w:type="dxa"/>
            <w:tcBorders>
              <w:top w:val="nil"/>
              <w:left w:val="nil"/>
              <w:bottom w:val="nil"/>
              <w:right w:val="nil"/>
            </w:tcBorders>
            <w:shd w:val="clear" w:color="auto" w:fill="1F4E79"/>
            <w:tcMar>
              <w:top w:w="200" w:type="dxa"/>
              <w:left w:w="160" w:type="dxa"/>
              <w:bottom w:w="160" w:type="dxa"/>
              <w:right w:w="160" w:type="dxa"/>
            </w:tcMar>
            <w:vAlign w:val="center"/>
          </w:tcPr>
          <w:p w14:paraId="6AC546AB">
            <w:pPr>
              <w:jc w:val="center"/>
            </w:pPr>
            <w:r>
              <w:rPr>
                <w:rFonts w:ascii="Arial" w:hAnsi="Arial" w:eastAsia="Arial" w:cs="Arial"/>
                <w:b/>
                <w:bCs/>
                <w:color w:val="FFFFFF"/>
                <w:sz w:val="40"/>
                <w:szCs w:val="40"/>
              </w:rPr>
              <w:t>₹1.44M</w:t>
            </w:r>
          </w:p>
          <w:p w14:paraId="67B85FD7">
            <w:pPr>
              <w:spacing w:before="40" w:after="0"/>
              <w:jc w:val="center"/>
            </w:pPr>
            <w:r>
              <w:rPr>
                <w:rFonts w:ascii="Arial" w:hAnsi="Arial" w:eastAsia="Arial" w:cs="Arial"/>
                <w:color w:val="BDD7EE"/>
                <w:sz w:val="18"/>
                <w:szCs w:val="18"/>
              </w:rPr>
              <w:t>Q4 2023 Revenue</w:t>
            </w:r>
          </w:p>
          <w:p w14:paraId="36CEDD56">
            <w:pPr>
              <w:spacing w:before="20" w:after="0"/>
              <w:jc w:val="center"/>
            </w:pPr>
            <w:r>
              <w:rPr>
                <w:rFonts w:ascii="Arial" w:hAnsi="Arial" w:eastAsia="Arial" w:cs="Arial"/>
                <w:i/>
                <w:iCs/>
                <w:color w:val="BDD7EE"/>
                <w:sz w:val="16"/>
                <w:szCs w:val="16"/>
              </w:rPr>
              <w:t>Top 7 cities</w:t>
            </w:r>
          </w:p>
        </w:tc>
        <w:tc>
          <w:tcPr>
            <w:tcW w:w="2340" w:type="dxa"/>
            <w:tcBorders>
              <w:top w:val="nil"/>
              <w:left w:val="nil"/>
              <w:bottom w:val="nil"/>
              <w:right w:val="nil"/>
            </w:tcBorders>
            <w:shd w:val="clear" w:color="auto" w:fill="1F4E79"/>
            <w:tcMar>
              <w:top w:w="200" w:type="dxa"/>
              <w:left w:w="160" w:type="dxa"/>
              <w:bottom w:w="160" w:type="dxa"/>
              <w:right w:w="160" w:type="dxa"/>
            </w:tcMar>
            <w:vAlign w:val="center"/>
          </w:tcPr>
          <w:p w14:paraId="4EBED810">
            <w:pPr>
              <w:jc w:val="center"/>
            </w:pPr>
            <w:r>
              <w:rPr>
                <w:rFonts w:ascii="Arial" w:hAnsi="Arial" w:eastAsia="Arial" w:cs="Arial"/>
                <w:b/>
                <w:bCs/>
                <w:color w:val="FFFFFF"/>
                <w:sz w:val="40"/>
                <w:szCs w:val="40"/>
              </w:rPr>
              <w:t>Cold Brew</w:t>
            </w:r>
          </w:p>
          <w:p w14:paraId="6FF1502A">
            <w:pPr>
              <w:spacing w:before="40" w:after="0"/>
              <w:jc w:val="center"/>
            </w:pPr>
            <w:r>
              <w:rPr>
                <w:rFonts w:ascii="Arial" w:hAnsi="Arial" w:eastAsia="Arial" w:cs="Arial"/>
                <w:color w:val="BDD7EE"/>
                <w:sz w:val="18"/>
                <w:szCs w:val="18"/>
              </w:rPr>
              <w:t>Top-Selling Product</w:t>
            </w:r>
          </w:p>
          <w:p w14:paraId="1292734C">
            <w:pPr>
              <w:spacing w:before="20" w:after="0"/>
              <w:jc w:val="center"/>
            </w:pPr>
            <w:r>
              <w:rPr>
                <w:rFonts w:ascii="Arial" w:hAnsi="Arial" w:eastAsia="Arial" w:cs="Arial"/>
                <w:i/>
                <w:iCs/>
                <w:color w:val="BDD7EE"/>
                <w:sz w:val="16"/>
                <w:szCs w:val="16"/>
              </w:rPr>
              <w:t>1,326 units sold</w:t>
            </w:r>
          </w:p>
        </w:tc>
        <w:tc>
          <w:tcPr>
            <w:tcW w:w="2340" w:type="dxa"/>
            <w:tcBorders>
              <w:top w:val="nil"/>
              <w:left w:val="nil"/>
              <w:bottom w:val="nil"/>
              <w:right w:val="nil"/>
            </w:tcBorders>
            <w:shd w:val="clear" w:color="auto" w:fill="1F4E79"/>
            <w:tcMar>
              <w:top w:w="200" w:type="dxa"/>
              <w:left w:w="160" w:type="dxa"/>
              <w:bottom w:w="160" w:type="dxa"/>
              <w:right w:w="160" w:type="dxa"/>
            </w:tcMar>
            <w:vAlign w:val="center"/>
          </w:tcPr>
          <w:p w14:paraId="3C018142">
            <w:pPr>
              <w:jc w:val="center"/>
            </w:pPr>
            <w:r>
              <w:rPr>
                <w:rFonts w:ascii="Arial" w:hAnsi="Arial" w:eastAsia="Arial" w:cs="Arial"/>
                <w:b/>
                <w:bCs/>
                <w:color w:val="FFFFFF"/>
                <w:sz w:val="40"/>
                <w:szCs w:val="40"/>
              </w:rPr>
              <w:t>10</w:t>
            </w:r>
          </w:p>
          <w:p w14:paraId="1A96CA76">
            <w:pPr>
              <w:spacing w:before="40" w:after="0"/>
              <w:jc w:val="center"/>
            </w:pPr>
            <w:r>
              <w:rPr>
                <w:rFonts w:ascii="Arial" w:hAnsi="Arial" w:eastAsia="Arial" w:cs="Arial"/>
                <w:color w:val="BDD7EE"/>
                <w:sz w:val="18"/>
                <w:szCs w:val="18"/>
              </w:rPr>
              <w:t>Cities Tracked</w:t>
            </w:r>
          </w:p>
          <w:p w14:paraId="31EBF5DB">
            <w:pPr>
              <w:spacing w:before="20" w:after="0"/>
              <w:jc w:val="center"/>
            </w:pPr>
            <w:r>
              <w:rPr>
                <w:rFonts w:ascii="Arial" w:hAnsi="Arial" w:eastAsia="Arial" w:cs="Arial"/>
                <w:i/>
                <w:iCs/>
                <w:color w:val="BDD7EE"/>
                <w:sz w:val="16"/>
                <w:szCs w:val="16"/>
              </w:rPr>
              <w:t>Across India</w:t>
            </w:r>
          </w:p>
        </w:tc>
      </w:tr>
    </w:tbl>
    <w:p w14:paraId="624BEA48">
      <w:pPr>
        <w:spacing w:before="360" w:after="0"/>
      </w:pPr>
    </w:p>
    <w:p w14:paraId="59080FF8">
      <w:pPr>
        <w:pStyle w:val="2"/>
        <w:pBdr>
          <w:bottom w:val="single" w:color="2E75B6" w:sz="8" w:space="4"/>
        </w:pBdr>
        <w:spacing w:before="360" w:after="120"/>
      </w:pPr>
      <w:r>
        <w:rPr>
          <w:rFonts w:ascii="Arial" w:hAnsi="Arial" w:eastAsia="Arial" w:cs="Arial"/>
          <w:b/>
          <w:bCs/>
          <w:color w:val="1F4E79"/>
          <w:sz w:val="28"/>
          <w:szCs w:val="28"/>
        </w:rPr>
        <w:t>1.  Executive Summary</w:t>
      </w:r>
    </w:p>
    <w:p w14:paraId="6E535AE1">
      <w:pPr>
        <w:spacing w:before="80" w:after="80"/>
        <w:rPr>
          <w:rFonts w:hint="eastAsia"/>
        </w:rPr>
      </w:pPr>
      <w:r>
        <w:rPr>
          <w:rFonts w:hint="eastAsia"/>
        </w:rPr>
        <w:t xml:space="preserve">Monday Coffee has generated </w:t>
      </w:r>
      <w:r>
        <w:rPr>
          <w:rFonts w:hint="eastAsia"/>
          <w:b/>
          <w:bCs/>
        </w:rPr>
        <w:t>₹3.86M</w:t>
      </w:r>
      <w:r>
        <w:rPr>
          <w:rFonts w:hint="eastAsia"/>
        </w:rPr>
        <w:t>+ in cumulative revenue, with Q4 2023 contributing ₹</w:t>
      </w:r>
      <w:r>
        <w:rPr>
          <w:rFonts w:hint="eastAsia"/>
          <w:b/>
          <w:bCs/>
        </w:rPr>
        <w:t xml:space="preserve">1.44M </w:t>
      </w:r>
      <w:r>
        <w:rPr>
          <w:rFonts w:hint="eastAsia"/>
        </w:rPr>
        <w:t>(~37%), signaling strong recent momentum. Performance is split across a two-tier market structure: high-value cities and high-volume but lower-yield cities.</w:t>
      </w:r>
    </w:p>
    <w:p w14:paraId="03BCC43E">
      <w:pPr>
        <w:spacing w:before="80" w:after="80"/>
        <w:rPr>
          <w:rFonts w:hint="eastAsia"/>
        </w:rPr>
      </w:pPr>
    </w:p>
    <w:p w14:paraId="5486F9E3">
      <w:pPr>
        <w:spacing w:before="80" w:after="80"/>
        <w:rPr>
          <w:rFonts w:hint="eastAsia"/>
        </w:rPr>
      </w:pPr>
      <w:r>
        <w:rPr>
          <w:rFonts w:hint="eastAsia"/>
          <w:b/>
          <w:bCs/>
        </w:rPr>
        <w:t>Pune, Chennai, and Bangalore</w:t>
      </w:r>
      <w:r>
        <w:rPr>
          <w:rFonts w:hint="eastAsia"/>
        </w:rPr>
        <w:t xml:space="preserve"> form the high-value cluster, driven by superior customer economics. Pune leads with ₹1.26M revenue and the highest average spend per customer (₹24,197), while Chennai and Bangalore maintain similarly strong spending levels (₹22K per customer). In contrast, Delhi and Jaipur have the largest customer bases (68 and 69 customers respectively) but significantly lower spend (₹11K per customer), indicating weaker monetization despite scale.</w:t>
      </w:r>
    </w:p>
    <w:p w14:paraId="6733B925">
      <w:pPr>
        <w:spacing w:before="80" w:after="80"/>
        <w:rPr>
          <w:rFonts w:hint="eastAsia"/>
        </w:rPr>
      </w:pPr>
    </w:p>
    <w:p w14:paraId="3393F3EA">
      <w:pPr>
        <w:spacing w:before="80" w:after="80"/>
        <w:rPr>
          <w:rFonts w:hint="eastAsia"/>
        </w:rPr>
      </w:pPr>
      <w:r>
        <w:rPr>
          <w:rFonts w:hint="eastAsia"/>
        </w:rPr>
        <w:t xml:space="preserve">Market penetration remains extremely low across major cities, highlighting substantial growth headroom. For instance, </w:t>
      </w:r>
      <w:r>
        <w:rPr>
          <w:rFonts w:hint="eastAsia"/>
          <w:b/>
          <w:bCs/>
        </w:rPr>
        <w:t>Delhi (</w:t>
      </w:r>
      <w:r>
        <w:rPr>
          <w:rFonts w:hint="default"/>
          <w:b/>
          <w:bCs/>
          <w:lang w:val="en-US"/>
        </w:rPr>
        <w:t>7</w:t>
      </w:r>
      <w:r>
        <w:rPr>
          <w:rFonts w:hint="eastAsia"/>
          <w:b/>
          <w:bCs/>
        </w:rPr>
        <w:t>.75M estimated consumers)</w:t>
      </w:r>
      <w:r>
        <w:rPr>
          <w:rFonts w:hint="eastAsia"/>
        </w:rPr>
        <w:t xml:space="preserve"> and </w:t>
      </w:r>
      <w:r>
        <w:rPr>
          <w:rFonts w:hint="eastAsia"/>
          <w:b/>
          <w:bCs/>
        </w:rPr>
        <w:t>Mumbai (5.1M)</w:t>
      </w:r>
      <w:r>
        <w:rPr>
          <w:rFonts w:hint="eastAsia"/>
        </w:rPr>
        <w:t xml:space="preserve"> have disproportionately small active customer bases, pointing to underutilized demand. On the product side, </w:t>
      </w:r>
      <w:r>
        <w:rPr>
          <w:rFonts w:hint="eastAsia"/>
          <w:b/>
          <w:bCs/>
        </w:rPr>
        <w:t>Cold Brew Coffee Pack (1,326 units sold</w:t>
      </w:r>
      <w:r>
        <w:rPr>
          <w:rFonts w:hint="eastAsia"/>
        </w:rPr>
        <w:t>) is the leading SKU, reinforcing its role as the primary revenue driver.</w:t>
      </w:r>
    </w:p>
    <w:p w14:paraId="169B1206">
      <w:pPr>
        <w:spacing w:before="80" w:after="80"/>
        <w:rPr>
          <w:rFonts w:hint="eastAsia"/>
        </w:rPr>
      </w:pPr>
    </w:p>
    <w:p w14:paraId="6E535AE1">
      <w:pPr>
        <w:spacing w:before="80" w:after="80"/>
      </w:pPr>
      <w:r>
        <w:rPr>
          <w:rFonts w:hint="eastAsia"/>
        </w:rPr>
        <w:t>Overall, Pune, Chennai, and Bangalore present the strongest expansion opportunities due to high revenue concentration, strong customer lifetime value, and favorable rent-to-revenue ratios. Meanwhile, large markets like Delhi and Mumbai require targeted customer acquisition strategies to unlock their full potential.</w:t>
      </w:r>
    </w:p>
    <w:p w14:paraId="44A168E3">
      <w:pPr>
        <w:spacing w:before="120" w:after="120"/>
      </w:pPr>
    </w:p>
    <w:p w14:paraId="21BCCC93">
      <w:pPr>
        <w:pStyle w:val="2"/>
        <w:pBdr>
          <w:bottom w:val="single" w:color="2E75B6" w:sz="8" w:space="4"/>
        </w:pBdr>
        <w:spacing w:before="360" w:after="120"/>
        <w:rPr>
          <w:rFonts w:ascii="Arial" w:hAnsi="Arial" w:eastAsia="Arial" w:cs="Arial"/>
          <w:b/>
          <w:bCs/>
          <w:color w:val="1F4E79"/>
          <w:sz w:val="28"/>
          <w:szCs w:val="28"/>
        </w:rPr>
      </w:pPr>
    </w:p>
    <w:p w14:paraId="1752FB34">
      <w:pPr>
        <w:pStyle w:val="2"/>
        <w:pBdr>
          <w:bottom w:val="single" w:color="2E75B6" w:sz="8" w:space="4"/>
        </w:pBdr>
        <w:spacing w:before="360" w:after="120"/>
        <w:rPr>
          <w:rFonts w:ascii="Arial" w:hAnsi="Arial" w:eastAsia="Arial" w:cs="Arial"/>
          <w:b/>
          <w:bCs/>
          <w:color w:val="1F4E79"/>
          <w:sz w:val="28"/>
          <w:szCs w:val="28"/>
        </w:rPr>
      </w:pPr>
    </w:p>
    <w:p w14:paraId="5472D238">
      <w:pPr>
        <w:pStyle w:val="2"/>
        <w:pBdr>
          <w:bottom w:val="single" w:color="2E75B6" w:sz="8" w:space="4"/>
        </w:pBdr>
        <w:spacing w:before="360" w:after="120"/>
      </w:pPr>
      <w:bookmarkStart w:id="0" w:name="_GoBack"/>
      <w:bookmarkEnd w:id="0"/>
      <w:r>
        <w:rPr>
          <w:rFonts w:ascii="Arial" w:hAnsi="Arial" w:eastAsia="Arial" w:cs="Arial"/>
          <w:b/>
          <w:bCs/>
          <w:color w:val="1F4E79"/>
          <w:sz w:val="28"/>
          <w:szCs w:val="28"/>
        </w:rPr>
        <w:t>2.  Key Insights</w:t>
      </w:r>
    </w:p>
    <w:p w14:paraId="01BD1CCA">
      <w:pPr>
        <w:pStyle w:val="3"/>
        <w:spacing w:before="240" w:after="80"/>
      </w:pPr>
      <w:r>
        <w:rPr>
          <w:rFonts w:ascii="Arial" w:hAnsi="Arial" w:eastAsia="Arial" w:cs="Arial"/>
          <w:b/>
          <w:bCs/>
          <w:color w:val="2E75B6"/>
          <w:sz w:val="24"/>
          <w:szCs w:val="24"/>
        </w:rPr>
        <w:t>2.1  Revenue Performance</w:t>
      </w:r>
    </w:p>
    <w:p w14:paraId="00E6B032">
      <w:pPr>
        <w:spacing w:before="80" w:after="80"/>
      </w:pPr>
      <w:r>
        <w:rPr>
          <w:rFonts w:ascii="Arial" w:hAnsi="Arial" w:eastAsia="Arial" w:cs="Arial"/>
          <w:color w:val="2C2C2C"/>
          <w:sz w:val="22"/>
          <w:szCs w:val="22"/>
        </w:rPr>
        <w:t xml:space="preserve">Pune leads all cities in both total and Q4 2023 revenue, confirming its position as </w:t>
      </w:r>
      <w:r>
        <w:rPr>
          <w:rFonts w:cs="Arial"/>
          <w:color w:val="2C2C2C"/>
          <w:sz w:val="22"/>
          <w:szCs w:val="22"/>
          <w:lang w:val="en-US"/>
        </w:rPr>
        <w:t xml:space="preserve">the </w:t>
      </w:r>
      <w:r>
        <w:rPr>
          <w:rFonts w:ascii="Arial" w:hAnsi="Arial" w:eastAsia="Arial" w:cs="Arial"/>
          <w:color w:val="2C2C2C"/>
          <w:sz w:val="22"/>
          <w:szCs w:val="22"/>
        </w:rPr>
        <w:t>highest-performing market. Chennai and Bangalore follow closely, forming a premium-revenue tier.</w:t>
      </w:r>
    </w:p>
    <w:p w14:paraId="42BCACC1">
      <w:pPr>
        <w:spacing w:before="60" w:after="6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681E8B45">
        <w:tblPrEx>
          <w:tblLayout w:type="fixed"/>
        </w:tblPrEx>
        <w:trPr>
          <w:tblHeader/>
        </w:trPr>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FFC279B">
            <w:pPr>
              <w:jc w:val="center"/>
            </w:pPr>
            <w:r>
              <w:rPr>
                <w:rFonts w:ascii="Arial" w:hAnsi="Arial" w:eastAsia="Arial" w:cs="Arial"/>
                <w:b/>
                <w:bCs/>
                <w:color w:val="FFFFFF"/>
                <w:sz w:val="20"/>
                <w:szCs w:val="20"/>
              </w:rPr>
              <w:t>City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9FDBF6A">
            <w:pPr>
              <w:jc w:val="center"/>
            </w:pPr>
            <w:r>
              <w:rPr>
                <w:rFonts w:ascii="Arial" w:hAnsi="Arial" w:eastAsia="Arial" w:cs="Arial"/>
                <w:b/>
                <w:bCs/>
                <w:color w:val="FFFFFF"/>
                <w:sz w:val="20"/>
                <w:szCs w:val="20"/>
              </w:rPr>
              <w:t>Q4 2023 Revenue (₹)</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8CC2F71">
            <w:pPr>
              <w:jc w:val="center"/>
            </w:pPr>
            <w:r>
              <w:rPr>
                <w:rFonts w:ascii="Arial" w:hAnsi="Arial" w:eastAsia="Arial" w:cs="Arial"/>
                <w:b/>
                <w:bCs/>
                <w:color w:val="FFFFFF"/>
                <w:sz w:val="20"/>
                <w:szCs w:val="20"/>
              </w:rPr>
              <w:t>All-Time Revenue (₹)</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021CB5B">
            <w:pPr>
              <w:jc w:val="center"/>
            </w:pPr>
            <w:r>
              <w:rPr>
                <w:rFonts w:ascii="Arial" w:hAnsi="Arial" w:eastAsia="Arial" w:cs="Arial"/>
                <w:b/>
                <w:bCs/>
                <w:color w:val="FFFFFF"/>
                <w:sz w:val="20"/>
                <w:szCs w:val="20"/>
              </w:rPr>
              <w:t>Active Customers</w:t>
            </w:r>
          </w:p>
        </w:tc>
      </w:tr>
      <w:tr w14:paraId="3CBE3978">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B4AA37A">
            <w:pPr>
              <w:jc w:val="left"/>
            </w:pPr>
            <w:r>
              <w:rPr>
                <w:rFonts w:ascii="Arial" w:hAnsi="Arial" w:eastAsia="Arial" w:cs="Arial"/>
                <w:color w:val="2C2C2C"/>
                <w:sz w:val="20"/>
                <w:szCs w:val="20"/>
              </w:rPr>
              <w:t>Pune</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16091D8">
            <w:pPr>
              <w:jc w:val="center"/>
            </w:pPr>
            <w:r>
              <w:rPr>
                <w:rFonts w:ascii="Arial" w:hAnsi="Arial" w:eastAsia="Arial" w:cs="Arial"/>
                <w:color w:val="2C2C2C"/>
                <w:sz w:val="20"/>
                <w:szCs w:val="20"/>
              </w:rPr>
              <w:t>434,330</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00E39547">
            <w:pPr>
              <w:jc w:val="center"/>
            </w:pPr>
            <w:r>
              <w:rPr>
                <w:rFonts w:ascii="Arial" w:hAnsi="Arial" w:eastAsia="Arial" w:cs="Arial"/>
                <w:color w:val="2C2C2C"/>
                <w:sz w:val="20"/>
                <w:szCs w:val="20"/>
              </w:rPr>
              <w:t>1,258,290</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9E18F97">
            <w:pPr>
              <w:jc w:val="center"/>
            </w:pPr>
            <w:r>
              <w:rPr>
                <w:rFonts w:ascii="Arial" w:hAnsi="Arial" w:eastAsia="Arial" w:cs="Arial"/>
                <w:color w:val="2C2C2C"/>
                <w:sz w:val="20"/>
                <w:szCs w:val="20"/>
              </w:rPr>
              <w:t>52</w:t>
            </w:r>
          </w:p>
        </w:tc>
      </w:tr>
      <w:tr w14:paraId="593536B5">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D9B312">
            <w:pPr>
              <w:jc w:val="left"/>
            </w:pPr>
            <w:r>
              <w:rPr>
                <w:rFonts w:ascii="Arial" w:hAnsi="Arial" w:eastAsia="Arial" w:cs="Arial"/>
                <w:color w:val="2C2C2C"/>
                <w:sz w:val="20"/>
                <w:szCs w:val="20"/>
              </w:rPr>
              <w:t>Chennai</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2B218B">
            <w:pPr>
              <w:jc w:val="center"/>
            </w:pPr>
            <w:r>
              <w:rPr>
                <w:rFonts w:ascii="Arial" w:hAnsi="Arial" w:eastAsia="Arial" w:cs="Arial"/>
                <w:color w:val="2C2C2C"/>
                <w:sz w:val="20"/>
                <w:szCs w:val="20"/>
              </w:rPr>
              <w:t>302,500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8614CB">
            <w:pPr>
              <w:jc w:val="center"/>
            </w:pPr>
            <w:r>
              <w:rPr>
                <w:rFonts w:ascii="Arial" w:hAnsi="Arial" w:eastAsia="Arial" w:cs="Arial"/>
                <w:color w:val="2C2C2C"/>
                <w:sz w:val="20"/>
                <w:szCs w:val="20"/>
              </w:rPr>
              <w:t>944,120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739293">
            <w:pPr>
              <w:jc w:val="center"/>
            </w:pPr>
            <w:r>
              <w:rPr>
                <w:rFonts w:ascii="Arial" w:hAnsi="Arial" w:eastAsia="Arial" w:cs="Arial"/>
                <w:color w:val="2C2C2C"/>
                <w:sz w:val="20"/>
                <w:szCs w:val="20"/>
              </w:rPr>
              <w:t>42</w:t>
            </w:r>
          </w:p>
        </w:tc>
      </w:tr>
      <w:tr w14:paraId="75975EFF">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21765AF">
            <w:pPr>
              <w:jc w:val="left"/>
            </w:pPr>
            <w:r>
              <w:rPr>
                <w:rFonts w:ascii="Arial" w:hAnsi="Arial" w:eastAsia="Arial" w:cs="Arial"/>
                <w:color w:val="2C2C2C"/>
                <w:sz w:val="20"/>
                <w:szCs w:val="20"/>
              </w:rPr>
              <w:t>Bangalore</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29302110">
            <w:pPr>
              <w:jc w:val="center"/>
            </w:pPr>
            <w:r>
              <w:rPr>
                <w:rFonts w:ascii="Arial" w:hAnsi="Arial" w:eastAsia="Arial" w:cs="Arial"/>
                <w:color w:val="2C2C2C"/>
                <w:sz w:val="20"/>
                <w:szCs w:val="20"/>
              </w:rPr>
              <w:t>270,780</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8E4350F">
            <w:pPr>
              <w:jc w:val="center"/>
            </w:pPr>
            <w:r>
              <w:rPr>
                <w:rFonts w:ascii="Arial" w:hAnsi="Arial" w:eastAsia="Arial" w:cs="Arial"/>
                <w:color w:val="2C2C2C"/>
                <w:sz w:val="20"/>
                <w:szCs w:val="20"/>
              </w:rPr>
              <w:t>860,110</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A1FE2D6">
            <w:pPr>
              <w:jc w:val="center"/>
            </w:pPr>
            <w:r>
              <w:rPr>
                <w:rFonts w:ascii="Arial" w:hAnsi="Arial" w:eastAsia="Arial" w:cs="Arial"/>
                <w:color w:val="2C2C2C"/>
                <w:sz w:val="20"/>
                <w:szCs w:val="20"/>
              </w:rPr>
              <w:t>39</w:t>
            </w:r>
          </w:p>
        </w:tc>
      </w:tr>
      <w:tr w14:paraId="040C8EE5">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1560C2">
            <w:pPr>
              <w:jc w:val="left"/>
            </w:pPr>
            <w:r>
              <w:rPr>
                <w:rFonts w:ascii="Arial" w:hAnsi="Arial" w:eastAsia="Arial" w:cs="Arial"/>
                <w:color w:val="2C2C2C"/>
                <w:sz w:val="20"/>
                <w:szCs w:val="20"/>
              </w:rPr>
              <w:t>Jaipur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9CC8BA">
            <w:pPr>
              <w:jc w:val="center"/>
            </w:pPr>
            <w:r>
              <w:rPr>
                <w:rFonts w:ascii="Arial" w:hAnsi="Arial" w:eastAsia="Arial" w:cs="Arial"/>
                <w:color w:val="2C2C2C"/>
                <w:sz w:val="20"/>
                <w:szCs w:val="20"/>
              </w:rPr>
              <w:t>248,580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736C33">
            <w:pPr>
              <w:jc w:val="center"/>
            </w:pPr>
            <w:r>
              <w:rPr>
                <w:rFonts w:ascii="Arial" w:hAnsi="Arial" w:eastAsia="Arial" w:cs="Arial"/>
                <w:color w:val="2C2C2C"/>
                <w:sz w:val="20"/>
                <w:szCs w:val="20"/>
              </w:rPr>
              <w:t>803,450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CAB528">
            <w:pPr>
              <w:jc w:val="center"/>
            </w:pPr>
            <w:r>
              <w:rPr>
                <w:rFonts w:ascii="Arial" w:hAnsi="Arial" w:eastAsia="Arial" w:cs="Arial"/>
                <w:color w:val="2C2C2C"/>
                <w:sz w:val="20"/>
                <w:szCs w:val="20"/>
              </w:rPr>
              <w:t>69</w:t>
            </w:r>
          </w:p>
        </w:tc>
      </w:tr>
      <w:tr w14:paraId="7EFEE851">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D150F85">
            <w:pPr>
              <w:jc w:val="left"/>
            </w:pPr>
            <w:r>
              <w:rPr>
                <w:rFonts w:ascii="Arial" w:hAnsi="Arial" w:eastAsia="Arial" w:cs="Arial"/>
                <w:color w:val="2C2C2C"/>
                <w:sz w:val="20"/>
                <w:szCs w:val="20"/>
              </w:rPr>
              <w:t>Delhi</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A52B803">
            <w:pPr>
              <w:jc w:val="center"/>
            </w:pPr>
            <w:r>
              <w:rPr>
                <w:rFonts w:ascii="Arial" w:hAnsi="Arial" w:eastAsia="Arial" w:cs="Arial"/>
                <w:color w:val="2C2C2C"/>
                <w:sz w:val="20"/>
                <w:szCs w:val="20"/>
              </w:rPr>
              <w:t>238,490</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5574D55">
            <w:pPr>
              <w:jc w:val="center"/>
            </w:pPr>
            <w:r>
              <w:rPr>
                <w:rFonts w:ascii="Arial" w:hAnsi="Arial" w:eastAsia="Arial" w:cs="Arial"/>
                <w:color w:val="2C2C2C"/>
                <w:sz w:val="20"/>
                <w:szCs w:val="20"/>
              </w:rPr>
              <w:t>750,420</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02D6D2B">
            <w:pPr>
              <w:jc w:val="center"/>
            </w:pPr>
            <w:r>
              <w:rPr>
                <w:rFonts w:ascii="Arial" w:hAnsi="Arial" w:eastAsia="Arial" w:cs="Arial"/>
                <w:color w:val="2C2C2C"/>
                <w:sz w:val="20"/>
                <w:szCs w:val="20"/>
              </w:rPr>
              <w:t>68</w:t>
            </w:r>
          </w:p>
        </w:tc>
      </w:tr>
    </w:tbl>
    <w:p w14:paraId="10C833F9">
      <w:pPr>
        <w:spacing w:before="120" w:after="120"/>
      </w:pPr>
    </w:p>
    <w:p w14:paraId="41ED6D56">
      <w:pPr>
        <w:pStyle w:val="3"/>
        <w:spacing w:before="240" w:after="80"/>
      </w:pPr>
      <w:r>
        <w:rPr>
          <w:rFonts w:ascii="Arial" w:hAnsi="Arial" w:eastAsia="Arial" w:cs="Arial"/>
          <w:b/>
          <w:bCs/>
          <w:color w:val="2E75B6"/>
          <w:sz w:val="24"/>
          <w:szCs w:val="24"/>
        </w:rPr>
        <w:t>2.2  Customer Value &amp; Spend</w:t>
      </w:r>
    </w:p>
    <w:p w14:paraId="1F4AA0B9">
      <w:pPr>
        <w:spacing w:before="80" w:after="80"/>
      </w:pPr>
      <w:r>
        <w:rPr>
          <w:rFonts w:ascii="Arial" w:hAnsi="Arial" w:eastAsia="Arial" w:cs="Arial"/>
          <w:color w:val="2C2C2C"/>
          <w:sz w:val="22"/>
          <w:szCs w:val="22"/>
        </w:rPr>
        <w:t xml:space="preserve">Average spend per customer is highest in Pune (₹24,198), Chennai (₹22,479), and Bangalore (₹22,054) more than double the per-customer spend seen in Delhi (₹11,036) and Jaipur (₹11,644). This premium-spend </w:t>
      </w:r>
      <w:r>
        <w:rPr>
          <w:rFonts w:cs="Arial"/>
          <w:color w:val="2C2C2C"/>
          <w:sz w:val="22"/>
          <w:szCs w:val="22"/>
          <w:lang w:val="en-US"/>
        </w:rPr>
        <w:t>behavior i</w:t>
      </w:r>
      <w:r>
        <w:rPr>
          <w:rFonts w:ascii="Arial" w:hAnsi="Arial" w:eastAsia="Arial" w:cs="Arial"/>
          <w:color w:val="2C2C2C"/>
          <w:sz w:val="22"/>
          <w:szCs w:val="22"/>
        </w:rPr>
        <w:t>n the top three cities is a strong indicator of customer loyalty and product-market fit.</w:t>
      </w:r>
    </w:p>
    <w:p w14:paraId="472B26BE">
      <w:pPr>
        <w:spacing w:before="60" w:after="6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67B2CE5E">
        <w:tblPrEx>
          <w:tblLayout w:type="fixed"/>
        </w:tblPrEx>
        <w:trPr>
          <w:tblHeader/>
        </w:trPr>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495096D">
            <w:pPr>
              <w:jc w:val="center"/>
            </w:pPr>
            <w:r>
              <w:rPr>
                <w:rFonts w:ascii="Arial" w:hAnsi="Arial" w:eastAsia="Arial" w:cs="Arial"/>
                <w:b/>
                <w:bCs/>
                <w:color w:val="FFFFFF"/>
                <w:sz w:val="20"/>
                <w:szCs w:val="20"/>
              </w:rPr>
              <w:t>City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A942142">
            <w:pPr>
              <w:jc w:val="center"/>
            </w:pPr>
            <w:r>
              <w:rPr>
                <w:rFonts w:ascii="Arial" w:hAnsi="Arial" w:eastAsia="Arial" w:cs="Arial"/>
                <w:b/>
                <w:bCs/>
                <w:color w:val="FFFFFF"/>
                <w:sz w:val="20"/>
                <w:szCs w:val="20"/>
              </w:rPr>
              <w:t>Avg. Spend / Customer (₹)</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52E24AD">
            <w:pPr>
              <w:jc w:val="center"/>
            </w:pPr>
            <w:r>
              <w:rPr>
                <w:rFonts w:ascii="Arial" w:hAnsi="Arial" w:eastAsia="Arial" w:cs="Arial"/>
                <w:b/>
                <w:bCs/>
                <w:color w:val="FFFFFF"/>
                <w:sz w:val="20"/>
                <w:szCs w:val="20"/>
              </w:rPr>
              <w:t>Avg. Rent / Customer (₹)</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E189EDE">
            <w:pPr>
              <w:jc w:val="center"/>
            </w:pPr>
            <w:r>
              <w:rPr>
                <w:rFonts w:ascii="Arial" w:hAnsi="Arial" w:eastAsia="Arial" w:cs="Arial"/>
                <w:b/>
                <w:bCs/>
                <w:color w:val="FFFFFF"/>
                <w:sz w:val="20"/>
                <w:szCs w:val="20"/>
              </w:rPr>
              <w:t>Efficiency Index</w:t>
            </w:r>
          </w:p>
        </w:tc>
      </w:tr>
      <w:tr w14:paraId="68428260">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12152CB">
            <w:pPr>
              <w:jc w:val="left"/>
            </w:pPr>
            <w:r>
              <w:rPr>
                <w:rFonts w:ascii="Arial" w:hAnsi="Arial" w:eastAsia="Arial" w:cs="Arial"/>
                <w:color w:val="2C2C2C"/>
                <w:sz w:val="20"/>
                <w:szCs w:val="20"/>
              </w:rPr>
              <w:t>Pune</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E6BA2A1">
            <w:pPr>
              <w:jc w:val="center"/>
            </w:pPr>
            <w:r>
              <w:rPr>
                <w:rFonts w:ascii="Arial" w:hAnsi="Arial" w:eastAsia="Arial" w:cs="Arial"/>
                <w:color w:val="2C2C2C"/>
                <w:sz w:val="20"/>
                <w:szCs w:val="20"/>
              </w:rPr>
              <w:t>24,197.88</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6020694">
            <w:pPr>
              <w:jc w:val="center"/>
            </w:pPr>
            <w:r>
              <w:rPr>
                <w:rFonts w:ascii="Arial" w:hAnsi="Arial" w:eastAsia="Arial" w:cs="Arial"/>
                <w:color w:val="2C2C2C"/>
                <w:sz w:val="20"/>
                <w:szCs w:val="20"/>
              </w:rPr>
              <w:t>294.23</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2008338">
            <w:pPr>
              <w:jc w:val="center"/>
            </w:pPr>
            <w:r>
              <w:rPr>
                <w:rFonts w:ascii="Arial" w:hAnsi="Arial" w:eastAsia="Arial" w:cs="Arial"/>
                <w:color w:val="2C2C2C"/>
                <w:sz w:val="20"/>
                <w:szCs w:val="20"/>
              </w:rPr>
              <w:t>High</w:t>
            </w:r>
          </w:p>
        </w:tc>
      </w:tr>
      <w:tr w14:paraId="28EDAC84">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B145F4">
            <w:pPr>
              <w:jc w:val="left"/>
            </w:pPr>
            <w:r>
              <w:rPr>
                <w:rFonts w:ascii="Arial" w:hAnsi="Arial" w:eastAsia="Arial" w:cs="Arial"/>
                <w:color w:val="2C2C2C"/>
                <w:sz w:val="20"/>
                <w:szCs w:val="20"/>
              </w:rPr>
              <w:t>Chennai</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A73802">
            <w:pPr>
              <w:jc w:val="center"/>
            </w:pPr>
            <w:r>
              <w:rPr>
                <w:rFonts w:ascii="Arial" w:hAnsi="Arial" w:eastAsia="Arial" w:cs="Arial"/>
                <w:color w:val="2C2C2C"/>
                <w:sz w:val="20"/>
                <w:szCs w:val="20"/>
              </w:rPr>
              <w:t>22,479.05</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A6F4A0">
            <w:pPr>
              <w:jc w:val="center"/>
            </w:pPr>
            <w:r>
              <w:rPr>
                <w:rFonts w:ascii="Arial" w:hAnsi="Arial" w:eastAsia="Arial" w:cs="Arial"/>
                <w:color w:val="2C2C2C"/>
                <w:sz w:val="20"/>
                <w:szCs w:val="20"/>
              </w:rPr>
              <w:t>407.14</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ABA45D">
            <w:pPr>
              <w:jc w:val="center"/>
            </w:pPr>
            <w:r>
              <w:rPr>
                <w:rFonts w:ascii="Arial" w:hAnsi="Arial" w:eastAsia="Arial" w:cs="Arial"/>
                <w:color w:val="2C2C2C"/>
                <w:sz w:val="20"/>
                <w:szCs w:val="20"/>
              </w:rPr>
              <w:t>High</w:t>
            </w:r>
          </w:p>
        </w:tc>
      </w:tr>
      <w:tr w14:paraId="498178B6">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AF91413">
            <w:pPr>
              <w:jc w:val="left"/>
            </w:pPr>
            <w:r>
              <w:rPr>
                <w:rFonts w:ascii="Arial" w:hAnsi="Arial" w:eastAsia="Arial" w:cs="Arial"/>
                <w:color w:val="2C2C2C"/>
                <w:sz w:val="20"/>
                <w:szCs w:val="20"/>
              </w:rPr>
              <w:t>Bangalore</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276E415">
            <w:pPr>
              <w:jc w:val="center"/>
            </w:pPr>
            <w:r>
              <w:rPr>
                <w:rFonts w:ascii="Arial" w:hAnsi="Arial" w:eastAsia="Arial" w:cs="Arial"/>
                <w:color w:val="2C2C2C"/>
                <w:sz w:val="20"/>
                <w:szCs w:val="20"/>
              </w:rPr>
              <w:t>22,054.10</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940A5A9">
            <w:pPr>
              <w:jc w:val="center"/>
            </w:pPr>
            <w:r>
              <w:rPr>
                <w:rFonts w:ascii="Arial" w:hAnsi="Arial" w:eastAsia="Arial" w:cs="Arial"/>
                <w:color w:val="2C2C2C"/>
                <w:sz w:val="20"/>
                <w:szCs w:val="20"/>
              </w:rPr>
              <w:t>761.54</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21A4A473">
            <w:pPr>
              <w:jc w:val="center"/>
            </w:pPr>
            <w:r>
              <w:rPr>
                <w:rFonts w:ascii="Arial" w:hAnsi="Arial" w:eastAsia="Arial" w:cs="Arial"/>
                <w:color w:val="2C2C2C"/>
                <w:sz w:val="20"/>
                <w:szCs w:val="20"/>
              </w:rPr>
              <w:t>Moderate</w:t>
            </w:r>
          </w:p>
        </w:tc>
      </w:tr>
      <w:tr w14:paraId="590D8B54">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43A22F">
            <w:pPr>
              <w:jc w:val="left"/>
            </w:pPr>
            <w:r>
              <w:rPr>
                <w:rFonts w:ascii="Arial" w:hAnsi="Arial" w:eastAsia="Arial" w:cs="Arial"/>
                <w:color w:val="2C2C2C"/>
                <w:sz w:val="20"/>
                <w:szCs w:val="20"/>
              </w:rPr>
              <w:t>Jaipur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756816">
            <w:pPr>
              <w:jc w:val="center"/>
            </w:pPr>
            <w:r>
              <w:rPr>
                <w:rFonts w:ascii="Arial" w:hAnsi="Arial" w:eastAsia="Arial" w:cs="Arial"/>
                <w:color w:val="2C2C2C"/>
                <w:sz w:val="20"/>
                <w:szCs w:val="20"/>
              </w:rPr>
              <w:t>11,644.20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299E90">
            <w:pPr>
              <w:jc w:val="center"/>
            </w:pPr>
            <w:r>
              <w:rPr>
                <w:rFonts w:ascii="Arial" w:hAnsi="Arial" w:eastAsia="Arial" w:cs="Arial"/>
                <w:color w:val="2C2C2C"/>
                <w:sz w:val="20"/>
                <w:szCs w:val="20"/>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7486E7">
            <w:pPr>
              <w:jc w:val="center"/>
            </w:pPr>
            <w:r>
              <w:rPr>
                <w:rFonts w:ascii="Arial" w:hAnsi="Arial" w:eastAsia="Arial" w:cs="Arial"/>
                <w:color w:val="2C2C2C"/>
                <w:sz w:val="20"/>
                <w:szCs w:val="20"/>
              </w:rPr>
              <w:t>—</w:t>
            </w:r>
          </w:p>
        </w:tc>
      </w:tr>
      <w:tr w14:paraId="09706E85">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D0EA110">
            <w:pPr>
              <w:jc w:val="left"/>
            </w:pPr>
            <w:r>
              <w:rPr>
                <w:rFonts w:ascii="Arial" w:hAnsi="Arial" w:eastAsia="Arial" w:cs="Arial"/>
                <w:color w:val="2C2C2C"/>
                <w:sz w:val="20"/>
                <w:szCs w:val="20"/>
              </w:rPr>
              <w:t>Delhi</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03C19BE">
            <w:pPr>
              <w:jc w:val="center"/>
            </w:pPr>
            <w:r>
              <w:rPr>
                <w:rFonts w:ascii="Arial" w:hAnsi="Arial" w:eastAsia="Arial" w:cs="Arial"/>
                <w:color w:val="2C2C2C"/>
                <w:sz w:val="20"/>
                <w:szCs w:val="20"/>
              </w:rPr>
              <w:t>11,035.59</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9BD5D81">
            <w:pPr>
              <w:jc w:val="center"/>
            </w:pPr>
            <w:r>
              <w:rPr>
                <w:rFonts w:ascii="Arial" w:hAnsi="Arial" w:eastAsia="Arial" w:cs="Arial"/>
                <w:color w:val="2C2C2C"/>
                <w:sz w:val="20"/>
                <w:szCs w:val="20"/>
              </w:rPr>
              <w:t>—</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DFC7508">
            <w:pPr>
              <w:jc w:val="center"/>
            </w:pPr>
            <w:r>
              <w:rPr>
                <w:rFonts w:ascii="Arial" w:hAnsi="Arial" w:eastAsia="Arial" w:cs="Arial"/>
                <w:color w:val="2C2C2C"/>
                <w:sz w:val="20"/>
                <w:szCs w:val="20"/>
              </w:rPr>
              <w:t>—</w:t>
            </w:r>
          </w:p>
        </w:tc>
      </w:tr>
    </w:tbl>
    <w:p w14:paraId="11C7238B">
      <w:pPr>
        <w:spacing w:before="120" w:after="120"/>
      </w:pPr>
    </w:p>
    <w:p w14:paraId="446A310D">
      <w:pPr>
        <w:pStyle w:val="3"/>
        <w:spacing w:before="240" w:after="80"/>
      </w:pPr>
      <w:r>
        <w:rPr>
          <w:rFonts w:ascii="Arial" w:hAnsi="Arial" w:eastAsia="Arial" w:cs="Arial"/>
          <w:b/>
          <w:bCs/>
          <w:color w:val="2E75B6"/>
          <w:sz w:val="24"/>
          <w:szCs w:val="24"/>
        </w:rPr>
        <w:t>2.3  Product Portfolio</w:t>
      </w:r>
    </w:p>
    <w:p w14:paraId="40444FF6">
      <w:pPr>
        <w:spacing w:before="80" w:after="80"/>
      </w:pPr>
      <w:r>
        <w:rPr>
          <w:rFonts w:ascii="Arial" w:hAnsi="Arial" w:eastAsia="Arial" w:cs="Arial"/>
          <w:color w:val="2C2C2C"/>
          <w:sz w:val="22"/>
          <w:szCs w:val="22"/>
        </w:rPr>
        <w:t>Four core coffee products drive the overwhelming majority of sales volume. Cold Brew Coffee Pack (6 Bottles) leads with 1,326 units a 4.3% margin over second-place Ground Espresso Coffee. Merchandise (Tote Bag) trails significantly, indicating limited appetite for non-consumable items at current pricing or placement.</w:t>
      </w:r>
    </w:p>
    <w:p w14:paraId="0CE990D0">
      <w:pPr>
        <w:spacing w:before="60" w:after="6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D4429AD">
        <w:tblPrEx>
          <w:tblLayout w:type="fixed"/>
        </w:tblPrEx>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60D2E77">
            <w:pPr>
              <w:jc w:val="center"/>
            </w:pPr>
            <w:r>
              <w:rPr>
                <w:rFonts w:ascii="Arial" w:hAnsi="Arial" w:eastAsia="Arial" w:cs="Arial"/>
                <w:b/>
                <w:bCs/>
                <w:color w:val="FFFFFF"/>
                <w:sz w:val="20"/>
                <w:szCs w:val="20"/>
              </w:rPr>
              <w:t>Product</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B56813D">
            <w:pPr>
              <w:jc w:val="center"/>
            </w:pPr>
            <w:r>
              <w:rPr>
                <w:rFonts w:ascii="Arial" w:hAnsi="Arial" w:eastAsia="Arial" w:cs="Arial"/>
                <w:b/>
                <w:bCs/>
                <w:color w:val="FFFFFF"/>
                <w:sz w:val="20"/>
                <w:szCs w:val="20"/>
              </w:rPr>
              <w:t>Units Sold</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142F5E4">
            <w:pPr>
              <w:jc w:val="center"/>
            </w:pPr>
            <w:r>
              <w:rPr>
                <w:rFonts w:ascii="Arial" w:hAnsi="Arial" w:eastAsia="Arial" w:cs="Arial"/>
                <w:b/>
                <w:bCs/>
                <w:color w:val="FFFFFF"/>
                <w:sz w:val="20"/>
                <w:szCs w:val="20"/>
              </w:rPr>
              <w:t>Rank</w:t>
            </w:r>
          </w:p>
        </w:tc>
      </w:tr>
      <w:tr w14:paraId="3898E757">
        <w:tblPrEx>
          <w:tblLayout w:type="fixed"/>
        </w:tblPrEx>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7944F83">
            <w:pPr>
              <w:jc w:val="left"/>
            </w:pPr>
            <w:r>
              <w:rPr>
                <w:rFonts w:ascii="Arial" w:hAnsi="Arial" w:eastAsia="Arial" w:cs="Arial"/>
                <w:color w:val="2C2C2C"/>
                <w:sz w:val="20"/>
                <w:szCs w:val="20"/>
              </w:rPr>
              <w:t>Cold Brew Coffee Pack (6 Bottles)</w:t>
            </w:r>
          </w:p>
        </w:tc>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3BCFD81">
            <w:pPr>
              <w:jc w:val="center"/>
            </w:pPr>
            <w:r>
              <w:rPr>
                <w:rFonts w:ascii="Arial" w:hAnsi="Arial" w:eastAsia="Arial" w:cs="Arial"/>
                <w:color w:val="2C2C2C"/>
                <w:sz w:val="20"/>
                <w:szCs w:val="20"/>
              </w:rPr>
              <w:t>1,326</w:t>
            </w:r>
          </w:p>
        </w:tc>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344D7B5">
            <w:pPr>
              <w:jc w:val="center"/>
            </w:pPr>
            <w:r>
              <w:rPr>
                <w:rFonts w:ascii="Arial" w:hAnsi="Arial" w:eastAsia="Arial" w:cs="Arial"/>
                <w:color w:val="2C2C2C"/>
                <w:sz w:val="20"/>
                <w:szCs w:val="20"/>
              </w:rPr>
              <w:t>#1</w:t>
            </w:r>
          </w:p>
        </w:tc>
      </w:tr>
      <w:tr w14:paraId="17F51EF2">
        <w:tblPrEx>
          <w:tblLayout w:type="fixed"/>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47D823">
            <w:pPr>
              <w:jc w:val="left"/>
            </w:pPr>
            <w:r>
              <w:rPr>
                <w:rFonts w:ascii="Arial" w:hAnsi="Arial" w:eastAsia="Arial" w:cs="Arial"/>
                <w:color w:val="2C2C2C"/>
                <w:sz w:val="20"/>
                <w:szCs w:val="20"/>
              </w:rPr>
              <w:t>Ground Espresso Coffee (250g)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22633C">
            <w:pPr>
              <w:jc w:val="center"/>
            </w:pPr>
            <w:r>
              <w:rPr>
                <w:rFonts w:ascii="Arial" w:hAnsi="Arial" w:eastAsia="Arial" w:cs="Arial"/>
                <w:color w:val="2C2C2C"/>
                <w:sz w:val="20"/>
                <w:szCs w:val="20"/>
              </w:rPr>
              <w:t>1,271</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9D51AF">
            <w:pPr>
              <w:jc w:val="center"/>
            </w:pPr>
            <w:r>
              <w:rPr>
                <w:rFonts w:ascii="Arial" w:hAnsi="Arial" w:eastAsia="Arial" w:cs="Arial"/>
                <w:color w:val="2C2C2C"/>
                <w:sz w:val="20"/>
                <w:szCs w:val="20"/>
              </w:rPr>
              <w:t>#2</w:t>
            </w:r>
          </w:p>
        </w:tc>
      </w:tr>
      <w:tr w14:paraId="267A5BD2">
        <w:tblPrEx>
          <w:tblLayout w:type="fixed"/>
        </w:tblPrEx>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359A042">
            <w:pPr>
              <w:jc w:val="left"/>
            </w:pPr>
            <w:r>
              <w:rPr>
                <w:rFonts w:ascii="Arial" w:hAnsi="Arial" w:eastAsia="Arial" w:cs="Arial"/>
                <w:color w:val="2C2C2C"/>
                <w:sz w:val="20"/>
                <w:szCs w:val="20"/>
              </w:rPr>
              <w:t>Instant Coffee Powder (100g)</w:t>
            </w:r>
          </w:p>
        </w:tc>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61A4346">
            <w:pPr>
              <w:jc w:val="center"/>
            </w:pPr>
            <w:r>
              <w:rPr>
                <w:rFonts w:ascii="Arial" w:hAnsi="Arial" w:eastAsia="Arial" w:cs="Arial"/>
                <w:color w:val="2C2C2C"/>
                <w:sz w:val="20"/>
                <w:szCs w:val="20"/>
              </w:rPr>
              <w:t>1,226</w:t>
            </w:r>
          </w:p>
        </w:tc>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BBB7488">
            <w:pPr>
              <w:jc w:val="center"/>
            </w:pPr>
            <w:r>
              <w:rPr>
                <w:rFonts w:ascii="Arial" w:hAnsi="Arial" w:eastAsia="Arial" w:cs="Arial"/>
                <w:color w:val="2C2C2C"/>
                <w:sz w:val="20"/>
                <w:szCs w:val="20"/>
              </w:rPr>
              <w:t>#3</w:t>
            </w:r>
          </w:p>
        </w:tc>
      </w:tr>
      <w:tr w14:paraId="2153082E">
        <w:tblPrEx>
          <w:tblLayout w:type="fixed"/>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9FF9D9">
            <w:pPr>
              <w:jc w:val="left"/>
            </w:pPr>
            <w:r>
              <w:rPr>
                <w:rFonts w:ascii="Arial" w:hAnsi="Arial" w:eastAsia="Arial" w:cs="Arial"/>
                <w:color w:val="2C2C2C"/>
                <w:sz w:val="20"/>
                <w:szCs w:val="20"/>
              </w:rPr>
              <w:t>Coffee Beans (500g)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815901">
            <w:pPr>
              <w:jc w:val="center"/>
            </w:pPr>
            <w:r>
              <w:rPr>
                <w:rFonts w:ascii="Arial" w:hAnsi="Arial" w:eastAsia="Arial" w:cs="Arial"/>
                <w:color w:val="2C2C2C"/>
                <w:sz w:val="20"/>
                <w:szCs w:val="20"/>
              </w:rPr>
              <w:t>1,218</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85A911">
            <w:pPr>
              <w:jc w:val="center"/>
            </w:pPr>
            <w:r>
              <w:rPr>
                <w:rFonts w:ascii="Arial" w:hAnsi="Arial" w:eastAsia="Arial" w:cs="Arial"/>
                <w:color w:val="2C2C2C"/>
                <w:sz w:val="20"/>
                <w:szCs w:val="20"/>
              </w:rPr>
              <w:t>#4</w:t>
            </w:r>
          </w:p>
        </w:tc>
      </w:tr>
      <w:tr w14:paraId="3A78B688">
        <w:tblPrEx>
          <w:tblLayout w:type="fixed"/>
        </w:tblPrEx>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608719E">
            <w:pPr>
              <w:jc w:val="left"/>
            </w:pPr>
            <w:r>
              <w:rPr>
                <w:rFonts w:ascii="Arial" w:hAnsi="Arial" w:eastAsia="Arial" w:cs="Arial"/>
                <w:color w:val="2C2C2C"/>
                <w:sz w:val="20"/>
                <w:szCs w:val="20"/>
              </w:rPr>
              <w:t>Tote Bag with Coffee Design</w:t>
            </w:r>
          </w:p>
        </w:tc>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0642D6E0">
            <w:pPr>
              <w:jc w:val="center"/>
            </w:pPr>
            <w:r>
              <w:rPr>
                <w:rFonts w:ascii="Arial" w:hAnsi="Arial" w:eastAsia="Arial" w:cs="Arial"/>
                <w:color w:val="2C2C2C"/>
                <w:sz w:val="20"/>
                <w:szCs w:val="20"/>
              </w:rPr>
              <w:t>776</w:t>
            </w:r>
          </w:p>
        </w:tc>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0D0F9F5B">
            <w:pPr>
              <w:jc w:val="center"/>
            </w:pPr>
            <w:r>
              <w:rPr>
                <w:rFonts w:ascii="Arial" w:hAnsi="Arial" w:eastAsia="Arial" w:cs="Arial"/>
                <w:color w:val="2C2C2C"/>
                <w:sz w:val="20"/>
                <w:szCs w:val="20"/>
              </w:rPr>
              <w:t>#5</w:t>
            </w:r>
          </w:p>
        </w:tc>
      </w:tr>
    </w:tbl>
    <w:p w14:paraId="240F23E5">
      <w:pPr>
        <w:spacing w:before="120" w:after="120"/>
      </w:pPr>
    </w:p>
    <w:p w14:paraId="6A6BFD39">
      <w:pPr>
        <w:pStyle w:val="3"/>
        <w:spacing w:before="240" w:after="80"/>
      </w:pPr>
      <w:r>
        <w:rPr>
          <w:rFonts w:ascii="Arial" w:hAnsi="Arial" w:eastAsia="Arial" w:cs="Arial"/>
          <w:b/>
          <w:bCs/>
          <w:color w:val="2E75B6"/>
          <w:sz w:val="24"/>
          <w:szCs w:val="24"/>
        </w:rPr>
        <w:t>2.4  Market Penetration</w:t>
      </w:r>
    </w:p>
    <w:p w14:paraId="3403767E">
      <w:pPr>
        <w:spacing w:before="80" w:after="80"/>
      </w:pPr>
      <w:r>
        <w:rPr>
          <w:rFonts w:ascii="Arial" w:hAnsi="Arial" w:eastAsia="Arial" w:cs="Arial"/>
          <w:color w:val="2C2C2C"/>
          <w:sz w:val="22"/>
          <w:szCs w:val="22"/>
        </w:rPr>
        <w:t>Despite having the largest estimated coffee consumer base (7.75M), Delhi has only 68 active customers a penetration rate that trails Chennai, which converts 42 customers from a base of just 2.78M. This signals a structural under-performance in Delhi relative to market size and represents a material opportunity.</w:t>
      </w:r>
    </w:p>
    <w:p w14:paraId="210D5881">
      <w:pPr>
        <w:spacing w:before="60" w:after="6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2C8AD409">
        <w:tblPrEx>
          <w:tblLayout w:type="fixed"/>
        </w:tblPrEx>
        <w:trPr>
          <w:tblHeader/>
        </w:trPr>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447C690">
            <w:pPr>
              <w:jc w:val="center"/>
            </w:pPr>
            <w:r>
              <w:rPr>
                <w:rFonts w:ascii="Arial" w:hAnsi="Arial" w:eastAsia="Arial" w:cs="Arial"/>
                <w:b/>
                <w:bCs/>
                <w:color w:val="FFFFFF"/>
                <w:sz w:val="20"/>
                <w:szCs w:val="20"/>
              </w:rPr>
              <w:t>City</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DB1E1A9">
            <w:pPr>
              <w:jc w:val="center"/>
            </w:pPr>
            <w:r>
              <w:rPr>
                <w:rFonts w:ascii="Arial" w:hAnsi="Arial" w:eastAsia="Arial" w:cs="Arial"/>
                <w:b/>
                <w:bCs/>
                <w:color w:val="FFFFFF"/>
                <w:sz w:val="20"/>
                <w:szCs w:val="20"/>
              </w:rPr>
              <w:t>Est. Coffee Consumers (M)</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E806FD9">
            <w:pPr>
              <w:jc w:val="center"/>
            </w:pPr>
            <w:r>
              <w:rPr>
                <w:rFonts w:ascii="Arial" w:hAnsi="Arial" w:eastAsia="Arial" w:cs="Arial"/>
                <w:b/>
                <w:bCs/>
                <w:color w:val="FFFFFF"/>
                <w:sz w:val="20"/>
                <w:szCs w:val="20"/>
              </w:rPr>
              <w:t>Active Customers</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37E4F34">
            <w:pPr>
              <w:jc w:val="center"/>
            </w:pPr>
            <w:r>
              <w:rPr>
                <w:rFonts w:ascii="Arial" w:hAnsi="Arial" w:eastAsia="Arial" w:cs="Arial"/>
                <w:b/>
                <w:bCs/>
                <w:color w:val="FFFFFF"/>
                <w:sz w:val="20"/>
                <w:szCs w:val="20"/>
              </w:rPr>
              <w:t>Penetration Signal</w:t>
            </w:r>
          </w:p>
        </w:tc>
      </w:tr>
      <w:tr w14:paraId="17AD239C">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E401E7A">
            <w:pPr>
              <w:jc w:val="left"/>
            </w:pPr>
            <w:r>
              <w:rPr>
                <w:rFonts w:ascii="Arial" w:hAnsi="Arial" w:eastAsia="Arial" w:cs="Arial"/>
                <w:color w:val="2C2C2C"/>
                <w:sz w:val="20"/>
                <w:szCs w:val="20"/>
              </w:rPr>
              <w:t>Delhi</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9140666">
            <w:pPr>
              <w:jc w:val="center"/>
            </w:pPr>
            <w:r>
              <w:rPr>
                <w:rFonts w:ascii="Arial" w:hAnsi="Arial" w:eastAsia="Arial" w:cs="Arial"/>
                <w:color w:val="2C2C2C"/>
                <w:sz w:val="20"/>
                <w:szCs w:val="20"/>
              </w:rPr>
              <w:t>7.75</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2D69759B">
            <w:pPr>
              <w:jc w:val="center"/>
            </w:pPr>
            <w:r>
              <w:rPr>
                <w:rFonts w:ascii="Arial" w:hAnsi="Arial" w:eastAsia="Arial" w:cs="Arial"/>
                <w:color w:val="2C2C2C"/>
                <w:sz w:val="20"/>
                <w:szCs w:val="20"/>
              </w:rPr>
              <w:t>68</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0E4948C">
            <w:pPr>
              <w:jc w:val="center"/>
            </w:pPr>
            <w:r>
              <w:rPr>
                <w:rFonts w:ascii="Arial" w:hAnsi="Arial" w:eastAsia="Arial" w:cs="Arial"/>
                <w:color w:val="2C2C2C"/>
                <w:sz w:val="20"/>
                <w:szCs w:val="20"/>
              </w:rPr>
              <w:t>Under-penetrated</w:t>
            </w:r>
          </w:p>
        </w:tc>
      </w:tr>
      <w:tr w14:paraId="134CDFEF">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42DCED">
            <w:pPr>
              <w:jc w:val="left"/>
            </w:pPr>
            <w:r>
              <w:rPr>
                <w:rFonts w:ascii="Arial" w:hAnsi="Arial" w:eastAsia="Arial" w:cs="Arial"/>
                <w:color w:val="2C2C2C"/>
                <w:sz w:val="20"/>
                <w:szCs w:val="20"/>
              </w:rPr>
              <w:t>Mumbai</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FF71F7">
            <w:pPr>
              <w:jc w:val="center"/>
            </w:pPr>
            <w:r>
              <w:rPr>
                <w:rFonts w:ascii="Arial" w:hAnsi="Arial" w:eastAsia="Arial" w:cs="Arial"/>
                <w:color w:val="2C2C2C"/>
                <w:sz w:val="20"/>
                <w:szCs w:val="20"/>
              </w:rPr>
              <w:t>5.10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E5E104">
            <w:pPr>
              <w:jc w:val="center"/>
            </w:pPr>
            <w:r>
              <w:rPr>
                <w:rFonts w:ascii="Arial" w:hAnsi="Arial" w:eastAsia="Arial" w:cs="Arial"/>
                <w:color w:val="2C2C2C"/>
                <w:sz w:val="20"/>
                <w:szCs w:val="20"/>
              </w:rPr>
              <w:t>27</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F04892">
            <w:pPr>
              <w:jc w:val="center"/>
            </w:pPr>
            <w:r>
              <w:rPr>
                <w:rFonts w:ascii="Arial" w:hAnsi="Arial" w:eastAsia="Arial" w:cs="Arial"/>
                <w:color w:val="2C2C2C"/>
                <w:sz w:val="20"/>
                <w:szCs w:val="20"/>
              </w:rPr>
              <w:t>Under-penetrated</w:t>
            </w:r>
          </w:p>
        </w:tc>
      </w:tr>
      <w:tr w14:paraId="7C1FD759">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646A5BF">
            <w:pPr>
              <w:jc w:val="left"/>
            </w:pPr>
            <w:r>
              <w:rPr>
                <w:rFonts w:ascii="Arial" w:hAnsi="Arial" w:eastAsia="Arial" w:cs="Arial"/>
                <w:color w:val="2C2C2C"/>
                <w:sz w:val="20"/>
                <w:szCs w:val="20"/>
              </w:rPr>
              <w:t>Kolkata</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6455443">
            <w:pPr>
              <w:jc w:val="center"/>
            </w:pPr>
            <w:r>
              <w:rPr>
                <w:rFonts w:ascii="Arial" w:hAnsi="Arial" w:eastAsia="Arial" w:cs="Arial"/>
                <w:color w:val="2C2C2C"/>
                <w:sz w:val="20"/>
                <w:szCs w:val="20"/>
              </w:rPr>
              <w:t>3.73</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938EEF7">
            <w:pPr>
              <w:jc w:val="center"/>
            </w:pPr>
            <w:r>
              <w:rPr>
                <w:rFonts w:ascii="Arial" w:hAnsi="Arial" w:eastAsia="Arial" w:cs="Arial"/>
                <w:color w:val="2C2C2C"/>
                <w:sz w:val="20"/>
                <w:szCs w:val="20"/>
              </w:rPr>
              <w:t>28</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D32E51F">
            <w:pPr>
              <w:jc w:val="center"/>
            </w:pPr>
            <w:r>
              <w:rPr>
                <w:rFonts w:ascii="Arial" w:hAnsi="Arial" w:eastAsia="Arial" w:cs="Arial"/>
                <w:color w:val="2C2C2C"/>
                <w:sz w:val="20"/>
                <w:szCs w:val="20"/>
              </w:rPr>
              <w:t>Low</w:t>
            </w:r>
          </w:p>
        </w:tc>
      </w:tr>
      <w:tr w14:paraId="29B10046">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ED1E37">
            <w:pPr>
              <w:jc w:val="left"/>
            </w:pPr>
            <w:r>
              <w:rPr>
                <w:rFonts w:ascii="Arial" w:hAnsi="Arial" w:eastAsia="Arial" w:cs="Arial"/>
                <w:color w:val="2C2C2C"/>
                <w:sz w:val="20"/>
                <w:szCs w:val="20"/>
              </w:rPr>
              <w:t>Bangalore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66FAD3">
            <w:pPr>
              <w:jc w:val="center"/>
            </w:pPr>
            <w:r>
              <w:rPr>
                <w:rFonts w:ascii="Arial" w:hAnsi="Arial" w:eastAsia="Arial" w:cs="Arial"/>
                <w:color w:val="2C2C2C"/>
                <w:sz w:val="20"/>
                <w:szCs w:val="20"/>
              </w:rPr>
              <w:t>3.08</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243EA6">
            <w:pPr>
              <w:jc w:val="center"/>
            </w:pPr>
            <w:r>
              <w:rPr>
                <w:rFonts w:ascii="Arial" w:hAnsi="Arial" w:eastAsia="Arial" w:cs="Arial"/>
                <w:color w:val="2C2C2C"/>
                <w:sz w:val="20"/>
                <w:szCs w:val="20"/>
              </w:rPr>
              <w:t>39</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7BF904">
            <w:pPr>
              <w:jc w:val="center"/>
            </w:pPr>
            <w:r>
              <w:rPr>
                <w:rFonts w:ascii="Arial" w:hAnsi="Arial" w:eastAsia="Arial" w:cs="Arial"/>
                <w:color w:val="2C2C2C"/>
                <w:sz w:val="20"/>
                <w:szCs w:val="20"/>
              </w:rPr>
              <w:t>Moderate</w:t>
            </w:r>
          </w:p>
        </w:tc>
      </w:tr>
      <w:tr w14:paraId="13DFED96">
        <w:tblPrEx>
          <w:tblLayout w:type="fixed"/>
        </w:tblPrEx>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AD90DFA">
            <w:pPr>
              <w:jc w:val="left"/>
            </w:pPr>
            <w:r>
              <w:rPr>
                <w:rFonts w:ascii="Arial" w:hAnsi="Arial" w:eastAsia="Arial" w:cs="Arial"/>
                <w:color w:val="2C2C2C"/>
                <w:sz w:val="20"/>
                <w:szCs w:val="20"/>
              </w:rPr>
              <w:t>Chennai</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2E0D3DE7">
            <w:pPr>
              <w:jc w:val="center"/>
            </w:pPr>
            <w:r>
              <w:rPr>
                <w:rFonts w:ascii="Arial" w:hAnsi="Arial" w:eastAsia="Arial" w:cs="Arial"/>
                <w:color w:val="2C2C2C"/>
                <w:sz w:val="20"/>
                <w:szCs w:val="20"/>
              </w:rPr>
              <w:t>2.78</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41C84AE">
            <w:pPr>
              <w:jc w:val="center"/>
            </w:pPr>
            <w:r>
              <w:rPr>
                <w:rFonts w:ascii="Arial" w:hAnsi="Arial" w:eastAsia="Arial" w:cs="Arial"/>
                <w:color w:val="2C2C2C"/>
                <w:sz w:val="20"/>
                <w:szCs w:val="20"/>
              </w:rPr>
              <w:t>42</w:t>
            </w:r>
          </w:p>
        </w:tc>
        <w:tc>
          <w:tcPr>
            <w:tcW w:w="234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038D19C">
            <w:pPr>
              <w:jc w:val="center"/>
            </w:pPr>
            <w:r>
              <w:rPr>
                <w:rFonts w:ascii="Arial" w:hAnsi="Arial" w:eastAsia="Arial" w:cs="Arial"/>
                <w:color w:val="2C2C2C"/>
                <w:sz w:val="20"/>
                <w:szCs w:val="20"/>
              </w:rPr>
              <w:t>Strong</w:t>
            </w:r>
          </w:p>
        </w:tc>
      </w:tr>
    </w:tbl>
    <w:p w14:paraId="142903DD">
      <w:pPr>
        <w:spacing w:before="120" w:after="120"/>
      </w:pPr>
    </w:p>
    <w:p w14:paraId="277A59C0">
      <w:pPr>
        <w:pStyle w:val="3"/>
        <w:spacing w:before="240" w:after="80"/>
      </w:pPr>
      <w:r>
        <w:rPr>
          <w:rFonts w:ascii="Arial" w:hAnsi="Arial" w:eastAsia="Arial" w:cs="Arial"/>
          <w:b/>
          <w:bCs/>
          <w:color w:val="2E75B6"/>
          <w:sz w:val="24"/>
          <w:szCs w:val="24"/>
        </w:rPr>
        <w:t>2.5  Sales Growth Momentum</w:t>
      </w:r>
    </w:p>
    <w:p w14:paraId="2E83FB06">
      <w:pPr>
        <w:spacing w:before="80" w:after="80"/>
      </w:pPr>
      <w:r>
        <w:rPr>
          <w:rFonts w:ascii="Arial" w:hAnsi="Arial" w:eastAsia="Arial" w:cs="Arial"/>
          <w:color w:val="2C2C2C"/>
          <w:sz w:val="22"/>
          <w:szCs w:val="22"/>
        </w:rPr>
        <w:t xml:space="preserve">Month-on-month sales growth data highlights strong positive momentum in select cities. Ahmedabad recorded 94% growth in November 2023, Jaipur 51% in October 2023, and Pune 69% in July 2023. These spikes may reflect seasonal demand, promotional activity, or new customer acquisition </w:t>
      </w:r>
      <w:r>
        <w:rPr>
          <w:rFonts w:cs="Arial"/>
          <w:color w:val="2C2C2C"/>
          <w:sz w:val="22"/>
          <w:szCs w:val="22"/>
          <w:lang w:val="en-US"/>
        </w:rPr>
        <w:t xml:space="preserve"> </w:t>
      </w:r>
      <w:r>
        <w:rPr>
          <w:rFonts w:ascii="Arial" w:hAnsi="Arial" w:eastAsia="Arial" w:cs="Arial"/>
          <w:color w:val="2C2C2C"/>
          <w:sz w:val="22"/>
          <w:szCs w:val="22"/>
        </w:rPr>
        <w:t>all warranting further investigation to assess repeatability.</w:t>
      </w:r>
    </w:p>
    <w:p w14:paraId="26C7B303">
      <w:pPr>
        <w:spacing w:before="120" w:after="120"/>
      </w:pPr>
    </w:p>
    <w:p w14:paraId="0085A572">
      <w:pPr>
        <w:pStyle w:val="2"/>
        <w:pBdr>
          <w:bottom w:val="single" w:color="2E75B6" w:sz="8" w:space="4"/>
        </w:pBdr>
        <w:spacing w:before="360" w:after="120"/>
      </w:pPr>
      <w:r>
        <w:rPr>
          <w:rFonts w:ascii="Arial" w:hAnsi="Arial" w:eastAsia="Arial" w:cs="Arial"/>
          <w:b/>
          <w:bCs/>
          <w:color w:val="1F4E79"/>
          <w:sz w:val="28"/>
          <w:szCs w:val="28"/>
        </w:rPr>
        <w:t>3.  Strategic Recommendations</w:t>
      </w:r>
    </w:p>
    <w:p w14:paraId="260B293C">
      <w:pPr>
        <w:spacing w:before="80" w:after="80"/>
      </w:pPr>
      <w:r>
        <w:rPr>
          <w:rFonts w:ascii="Arial" w:hAnsi="Arial" w:eastAsia="Arial" w:cs="Arial"/>
          <w:color w:val="2C2C2C"/>
          <w:sz w:val="22"/>
          <w:szCs w:val="22"/>
        </w:rPr>
        <w:t>Based on analysis of revenue performance, customer economics, market penetration, and operational cost efficiency, the following five actions are recommended for Board consideration:</w:t>
      </w:r>
    </w:p>
    <w:p w14:paraId="7221FB48">
      <w:pPr>
        <w:spacing w:before="12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8460"/>
      </w:tblGrid>
      <w:tr w14:paraId="1685D212">
        <w:tblPrEx>
          <w:tblLayout w:type="fixed"/>
        </w:tblPrEx>
        <w:tc>
          <w:tcPr>
            <w:tcW w:w="900" w:type="dxa"/>
            <w:tcBorders>
              <w:top w:val="nil"/>
              <w:left w:val="nil"/>
              <w:bottom w:val="nil"/>
              <w:right w:val="nil"/>
            </w:tcBorders>
            <w:shd w:val="clear" w:color="auto" w:fill="2E75B6"/>
            <w:tcMar>
              <w:top w:w="140" w:type="dxa"/>
              <w:left w:w="120" w:type="dxa"/>
              <w:bottom w:w="140" w:type="dxa"/>
              <w:right w:w="120" w:type="dxa"/>
            </w:tcMar>
            <w:vAlign w:val="center"/>
          </w:tcPr>
          <w:p w14:paraId="3F02AA00">
            <w:pPr>
              <w:jc w:val="center"/>
            </w:pPr>
            <w:r>
              <w:rPr>
                <w:rFonts w:ascii="Arial" w:hAnsi="Arial" w:eastAsia="Arial" w:cs="Arial"/>
                <w:b/>
                <w:bCs/>
                <w:color w:val="FFFFFF"/>
                <w:sz w:val="36"/>
                <w:szCs w:val="36"/>
              </w:rPr>
              <w:t>1</w:t>
            </w:r>
          </w:p>
        </w:tc>
        <w:tc>
          <w:tcPr>
            <w:tcW w:w="8460" w:type="dxa"/>
            <w:tcBorders>
              <w:top w:val="nil"/>
              <w:left w:val="nil"/>
              <w:bottom w:val="nil"/>
              <w:right w:val="nil"/>
            </w:tcBorders>
            <w:shd w:val="clear" w:color="auto" w:fill="D6E4F0"/>
            <w:tcMar>
              <w:top w:w="140" w:type="dxa"/>
              <w:left w:w="200" w:type="dxa"/>
              <w:bottom w:w="140" w:type="dxa"/>
              <w:right w:w="160" w:type="dxa"/>
            </w:tcMar>
          </w:tcPr>
          <w:p w14:paraId="49BD8BBC">
            <w:pPr>
              <w:spacing w:before="0" w:after="40"/>
            </w:pPr>
            <w:r>
              <w:rPr>
                <w:rFonts w:cs="Arial"/>
                <w:b/>
                <w:bCs/>
                <w:color w:val="1F4E79"/>
                <w:sz w:val="22"/>
                <w:szCs w:val="22"/>
                <w:lang w:val="en-US"/>
              </w:rPr>
              <w:t xml:space="preserve">Prioritize </w:t>
            </w:r>
            <w:r>
              <w:rPr>
                <w:rFonts w:ascii="Arial" w:hAnsi="Arial" w:eastAsia="Arial" w:cs="Arial"/>
                <w:b/>
                <w:bCs/>
                <w:color w:val="1F4E79"/>
                <w:sz w:val="22"/>
                <w:szCs w:val="22"/>
              </w:rPr>
              <w:t>Expansion into Pune, Chennai &amp; Bangalore</w:t>
            </w:r>
          </w:p>
          <w:p w14:paraId="03D7C865">
            <w:pPr>
              <w:spacing w:before="0" w:after="0"/>
            </w:pPr>
            <w:r>
              <w:rPr>
                <w:rFonts w:ascii="Arial" w:hAnsi="Arial" w:eastAsia="Arial" w:cs="Arial"/>
                <w:color w:val="595959"/>
                <w:sz w:val="20"/>
                <w:szCs w:val="20"/>
              </w:rPr>
              <w:t>These three cities deliver the highest revenue, strongest customer spend, and favo</w:t>
            </w:r>
            <w:r>
              <w:rPr>
                <w:rFonts w:cs="Arial"/>
                <w:color w:val="595959"/>
                <w:sz w:val="20"/>
                <w:szCs w:val="20"/>
                <w:lang w:val="en-US"/>
              </w:rPr>
              <w:t>rable</w:t>
            </w:r>
            <w:r>
              <w:rPr>
                <w:rFonts w:ascii="Arial" w:hAnsi="Arial" w:eastAsia="Arial" w:cs="Arial"/>
                <w:color w:val="595959"/>
                <w:sz w:val="20"/>
                <w:szCs w:val="20"/>
              </w:rPr>
              <w:t xml:space="preserve"> rent economics. Pune's rent-per-customer of just ₹294 versus a ₹24,198 average spend creates a compelling unit economics case. Board should approve dedicated expansion budgets for new outlets or increased marketing investment in this tier.</w:t>
            </w:r>
          </w:p>
        </w:tc>
      </w:tr>
    </w:tbl>
    <w:p w14:paraId="4AB68A94">
      <w:pPr>
        <w:spacing w:before="80" w:after="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8460"/>
      </w:tblGrid>
      <w:tr w14:paraId="560CB1DA">
        <w:tblPrEx>
          <w:tblLayout w:type="fixed"/>
        </w:tblPrEx>
        <w:tc>
          <w:tcPr>
            <w:tcW w:w="900" w:type="dxa"/>
            <w:tcBorders>
              <w:top w:val="nil"/>
              <w:left w:val="nil"/>
              <w:bottom w:val="nil"/>
              <w:right w:val="nil"/>
            </w:tcBorders>
            <w:shd w:val="clear" w:color="auto" w:fill="2E75B6"/>
            <w:tcMar>
              <w:top w:w="140" w:type="dxa"/>
              <w:left w:w="120" w:type="dxa"/>
              <w:bottom w:w="140" w:type="dxa"/>
              <w:right w:w="120" w:type="dxa"/>
            </w:tcMar>
            <w:vAlign w:val="center"/>
          </w:tcPr>
          <w:p w14:paraId="4BAFA042">
            <w:pPr>
              <w:jc w:val="center"/>
            </w:pPr>
            <w:r>
              <w:rPr>
                <w:rFonts w:ascii="Arial" w:hAnsi="Arial" w:eastAsia="Arial" w:cs="Arial"/>
                <w:b/>
                <w:bCs/>
                <w:color w:val="FFFFFF"/>
                <w:sz w:val="36"/>
                <w:szCs w:val="36"/>
              </w:rPr>
              <w:t>2</w:t>
            </w:r>
          </w:p>
        </w:tc>
        <w:tc>
          <w:tcPr>
            <w:tcW w:w="8460" w:type="dxa"/>
            <w:tcBorders>
              <w:top w:val="nil"/>
              <w:left w:val="nil"/>
              <w:bottom w:val="nil"/>
              <w:right w:val="nil"/>
            </w:tcBorders>
            <w:shd w:val="clear" w:color="auto" w:fill="D6E4F0"/>
            <w:tcMar>
              <w:top w:w="140" w:type="dxa"/>
              <w:left w:w="200" w:type="dxa"/>
              <w:bottom w:w="140" w:type="dxa"/>
              <w:right w:w="160" w:type="dxa"/>
            </w:tcMar>
          </w:tcPr>
          <w:p w14:paraId="0AF22078">
            <w:pPr>
              <w:spacing w:before="0" w:after="40"/>
            </w:pPr>
            <w:r>
              <w:rPr>
                <w:rFonts w:ascii="Arial" w:hAnsi="Arial" w:eastAsia="Arial" w:cs="Arial"/>
                <w:b/>
                <w:bCs/>
                <w:color w:val="1F4E79"/>
                <w:sz w:val="22"/>
                <w:szCs w:val="22"/>
              </w:rPr>
              <w:t>Activate Delhi's Untapped Market Potential</w:t>
            </w:r>
          </w:p>
          <w:p w14:paraId="4C18EDB5">
            <w:pPr>
              <w:spacing w:before="0" w:after="0"/>
            </w:pPr>
            <w:r>
              <w:rPr>
                <w:rFonts w:ascii="Arial" w:hAnsi="Arial" w:eastAsia="Arial" w:cs="Arial"/>
                <w:color w:val="595959"/>
                <w:sz w:val="20"/>
                <w:szCs w:val="20"/>
              </w:rPr>
              <w:t xml:space="preserve">Delhi has India's largest estimated coffee consumer base (7.75M) yet ranks 5th in revenue. A targeted acquisition campaign  through digital channels, corporate partnerships, or </w:t>
            </w:r>
            <w:r>
              <w:rPr>
                <w:rFonts w:cs="Arial"/>
                <w:color w:val="595959"/>
                <w:sz w:val="20"/>
                <w:szCs w:val="20"/>
                <w:lang w:val="en-US"/>
              </w:rPr>
              <w:t>localized p</w:t>
            </w:r>
            <w:r>
              <w:rPr>
                <w:rFonts w:ascii="Arial" w:hAnsi="Arial" w:eastAsia="Arial" w:cs="Arial"/>
                <w:color w:val="595959"/>
                <w:sz w:val="20"/>
                <w:szCs w:val="20"/>
              </w:rPr>
              <w:t>romotions  could yield significant revenue uplift with minimal incremental infrastructure investment.</w:t>
            </w:r>
          </w:p>
        </w:tc>
      </w:tr>
    </w:tbl>
    <w:p w14:paraId="0FE976C6">
      <w:pPr>
        <w:spacing w:before="80" w:after="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8460"/>
      </w:tblGrid>
      <w:tr w14:paraId="291873D9">
        <w:tblPrEx>
          <w:tblLayout w:type="fixed"/>
        </w:tblPrEx>
        <w:tc>
          <w:tcPr>
            <w:tcW w:w="900" w:type="dxa"/>
            <w:tcBorders>
              <w:top w:val="nil"/>
              <w:left w:val="nil"/>
              <w:bottom w:val="nil"/>
              <w:right w:val="nil"/>
            </w:tcBorders>
            <w:shd w:val="clear" w:color="auto" w:fill="2E75B6"/>
            <w:tcMar>
              <w:top w:w="140" w:type="dxa"/>
              <w:left w:w="120" w:type="dxa"/>
              <w:bottom w:w="140" w:type="dxa"/>
              <w:right w:w="120" w:type="dxa"/>
            </w:tcMar>
            <w:vAlign w:val="center"/>
          </w:tcPr>
          <w:p w14:paraId="4F18CF81">
            <w:pPr>
              <w:jc w:val="center"/>
            </w:pPr>
            <w:r>
              <w:rPr>
                <w:rFonts w:ascii="Arial" w:hAnsi="Arial" w:eastAsia="Arial" w:cs="Arial"/>
                <w:b/>
                <w:bCs/>
                <w:color w:val="FFFFFF"/>
                <w:sz w:val="36"/>
                <w:szCs w:val="36"/>
              </w:rPr>
              <w:t>3</w:t>
            </w:r>
          </w:p>
        </w:tc>
        <w:tc>
          <w:tcPr>
            <w:tcW w:w="8460" w:type="dxa"/>
            <w:tcBorders>
              <w:top w:val="nil"/>
              <w:left w:val="nil"/>
              <w:bottom w:val="nil"/>
              <w:right w:val="nil"/>
            </w:tcBorders>
            <w:shd w:val="clear" w:color="auto" w:fill="D6E4F0"/>
            <w:tcMar>
              <w:top w:w="140" w:type="dxa"/>
              <w:left w:w="200" w:type="dxa"/>
              <w:bottom w:w="140" w:type="dxa"/>
              <w:right w:w="160" w:type="dxa"/>
            </w:tcMar>
          </w:tcPr>
          <w:p w14:paraId="4A194D1C">
            <w:pPr>
              <w:spacing w:before="0" w:after="40"/>
            </w:pPr>
            <w:r>
              <w:rPr>
                <w:rFonts w:ascii="Arial" w:hAnsi="Arial" w:eastAsia="Arial" w:cs="Arial"/>
                <w:b/>
                <w:bCs/>
                <w:color w:val="1F4E79"/>
                <w:sz w:val="22"/>
                <w:szCs w:val="22"/>
              </w:rPr>
              <w:t>Double Down on Cold Brew &amp; Core Coffee Products</w:t>
            </w:r>
          </w:p>
          <w:p w14:paraId="3CB67686">
            <w:pPr>
              <w:spacing w:before="0" w:after="0"/>
            </w:pPr>
            <w:r>
              <w:rPr>
                <w:rFonts w:ascii="Arial" w:hAnsi="Arial" w:eastAsia="Arial" w:cs="Arial"/>
                <w:color w:val="595959"/>
                <w:sz w:val="20"/>
                <w:szCs w:val="20"/>
              </w:rPr>
              <w:t>Cold Brew Coffee Pack and Ground Espresso account for over half of all units sold. Inventory planning, supplier negotiations, and promotional calendars should be anchored around these products. Consider bundling strategies to increase average order value and cross-sell Instant Coffee Powder and Beans alongside top sellers.</w:t>
            </w:r>
          </w:p>
        </w:tc>
      </w:tr>
    </w:tbl>
    <w:p w14:paraId="03DE0076">
      <w:pPr>
        <w:spacing w:before="80" w:after="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8460"/>
      </w:tblGrid>
      <w:tr w14:paraId="3861B5BC">
        <w:tblPrEx>
          <w:tblLayout w:type="fixed"/>
        </w:tblPrEx>
        <w:tc>
          <w:tcPr>
            <w:tcW w:w="900" w:type="dxa"/>
            <w:tcBorders>
              <w:top w:val="nil"/>
              <w:left w:val="nil"/>
              <w:bottom w:val="nil"/>
              <w:right w:val="nil"/>
            </w:tcBorders>
            <w:shd w:val="clear" w:color="auto" w:fill="2E75B6"/>
            <w:tcMar>
              <w:top w:w="140" w:type="dxa"/>
              <w:left w:w="120" w:type="dxa"/>
              <w:bottom w:w="140" w:type="dxa"/>
              <w:right w:w="120" w:type="dxa"/>
            </w:tcMar>
            <w:vAlign w:val="center"/>
          </w:tcPr>
          <w:p w14:paraId="038074E9">
            <w:pPr>
              <w:jc w:val="center"/>
            </w:pPr>
            <w:r>
              <w:rPr>
                <w:rFonts w:ascii="Arial" w:hAnsi="Arial" w:eastAsia="Arial" w:cs="Arial"/>
                <w:b/>
                <w:bCs/>
                <w:color w:val="FFFFFF"/>
                <w:sz w:val="36"/>
                <w:szCs w:val="36"/>
              </w:rPr>
              <w:t>4</w:t>
            </w:r>
          </w:p>
        </w:tc>
        <w:tc>
          <w:tcPr>
            <w:tcW w:w="8460" w:type="dxa"/>
            <w:tcBorders>
              <w:top w:val="nil"/>
              <w:left w:val="nil"/>
              <w:bottom w:val="nil"/>
              <w:right w:val="nil"/>
            </w:tcBorders>
            <w:shd w:val="clear" w:color="auto" w:fill="D6E4F0"/>
            <w:tcMar>
              <w:top w:w="140" w:type="dxa"/>
              <w:left w:w="200" w:type="dxa"/>
              <w:bottom w:w="140" w:type="dxa"/>
              <w:right w:w="160" w:type="dxa"/>
            </w:tcMar>
          </w:tcPr>
          <w:p w14:paraId="794E6E25">
            <w:pPr>
              <w:spacing w:before="0" w:after="40"/>
            </w:pPr>
            <w:r>
              <w:rPr>
                <w:rFonts w:ascii="Arial" w:hAnsi="Arial" w:eastAsia="Arial" w:cs="Arial"/>
                <w:b/>
                <w:bCs/>
                <w:color w:val="1F4E79"/>
                <w:sz w:val="22"/>
                <w:szCs w:val="22"/>
              </w:rPr>
              <w:t>Review &amp; Reposition the Merchandise Line</w:t>
            </w:r>
          </w:p>
          <w:p w14:paraId="46E9230B">
            <w:pPr>
              <w:spacing w:before="0" w:after="0"/>
            </w:pPr>
            <w:r>
              <w:rPr>
                <w:rFonts w:ascii="Arial" w:hAnsi="Arial" w:eastAsia="Arial" w:cs="Arial"/>
                <w:color w:val="595959"/>
                <w:sz w:val="20"/>
                <w:szCs w:val="20"/>
              </w:rPr>
              <w:t>The Tote Bag (776 units) underperforms the core coffee portfolio by 41%. The Board should review the merchandising strategy</w:t>
            </w:r>
            <w:r>
              <w:rPr>
                <w:rFonts w:cs="Arial"/>
                <w:color w:val="595959"/>
                <w:sz w:val="20"/>
                <w:szCs w:val="20"/>
                <w:lang w:val="en-US"/>
              </w:rPr>
              <w:t xml:space="preserve"> </w:t>
            </w:r>
            <w:r>
              <w:rPr>
                <w:rFonts w:ascii="Arial" w:hAnsi="Arial" w:eastAsia="Arial" w:cs="Arial"/>
                <w:color w:val="595959"/>
                <w:sz w:val="20"/>
                <w:szCs w:val="20"/>
              </w:rPr>
              <w:t>either repositioning tote bags as gift-set add-ons, renegotiating supplier costs to improve margins, or discontinuing if contribution remains below threshold.</w:t>
            </w:r>
          </w:p>
        </w:tc>
      </w:tr>
    </w:tbl>
    <w:p w14:paraId="341770DE">
      <w:pPr>
        <w:spacing w:before="80" w:after="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8460"/>
      </w:tblGrid>
      <w:tr w14:paraId="425A4D14">
        <w:tblPrEx>
          <w:tblLayout w:type="fixed"/>
        </w:tblPrEx>
        <w:tc>
          <w:tcPr>
            <w:tcW w:w="900" w:type="dxa"/>
            <w:tcBorders>
              <w:top w:val="nil"/>
              <w:left w:val="nil"/>
              <w:bottom w:val="nil"/>
              <w:right w:val="nil"/>
            </w:tcBorders>
            <w:shd w:val="clear" w:color="auto" w:fill="2E75B6"/>
            <w:tcMar>
              <w:top w:w="140" w:type="dxa"/>
              <w:left w:w="120" w:type="dxa"/>
              <w:bottom w:w="140" w:type="dxa"/>
              <w:right w:w="120" w:type="dxa"/>
            </w:tcMar>
            <w:vAlign w:val="center"/>
          </w:tcPr>
          <w:p w14:paraId="0FF3DA1F">
            <w:pPr>
              <w:jc w:val="center"/>
            </w:pPr>
            <w:r>
              <w:rPr>
                <w:rFonts w:ascii="Arial" w:hAnsi="Arial" w:eastAsia="Arial" w:cs="Arial"/>
                <w:b/>
                <w:bCs/>
                <w:color w:val="FFFFFF"/>
                <w:sz w:val="36"/>
                <w:szCs w:val="36"/>
              </w:rPr>
              <w:t>5</w:t>
            </w:r>
          </w:p>
        </w:tc>
        <w:tc>
          <w:tcPr>
            <w:tcW w:w="8460" w:type="dxa"/>
            <w:tcBorders>
              <w:top w:val="nil"/>
              <w:left w:val="nil"/>
              <w:bottom w:val="nil"/>
              <w:right w:val="nil"/>
            </w:tcBorders>
            <w:shd w:val="clear" w:color="auto" w:fill="D6E4F0"/>
            <w:tcMar>
              <w:top w:w="140" w:type="dxa"/>
              <w:left w:w="200" w:type="dxa"/>
              <w:bottom w:w="140" w:type="dxa"/>
              <w:right w:w="160" w:type="dxa"/>
            </w:tcMar>
          </w:tcPr>
          <w:p w14:paraId="7EC0756A">
            <w:pPr>
              <w:spacing w:before="0" w:after="40"/>
            </w:pPr>
            <w:r>
              <w:rPr>
                <w:rFonts w:ascii="Arial" w:hAnsi="Arial" w:eastAsia="Arial" w:cs="Arial"/>
                <w:b/>
                <w:bCs/>
                <w:color w:val="1F4E79"/>
                <w:sz w:val="22"/>
                <w:szCs w:val="22"/>
              </w:rPr>
              <w:t>Formali</w:t>
            </w:r>
            <w:r>
              <w:rPr>
                <w:rFonts w:cs="Arial"/>
                <w:b/>
                <w:bCs/>
                <w:color w:val="1F4E79"/>
                <w:sz w:val="22"/>
                <w:szCs w:val="22"/>
                <w:lang w:val="en-US"/>
              </w:rPr>
              <w:t>ze</w:t>
            </w:r>
            <w:r>
              <w:rPr>
                <w:rFonts w:ascii="Arial" w:hAnsi="Arial" w:eastAsia="Arial" w:cs="Arial"/>
                <w:b/>
                <w:bCs/>
                <w:color w:val="1F4E79"/>
                <w:sz w:val="22"/>
                <w:szCs w:val="22"/>
              </w:rPr>
              <w:t xml:space="preserve"> Growth Tracking &amp; Monthly Revenue Reporting</w:t>
            </w:r>
          </w:p>
          <w:p w14:paraId="15A19005">
            <w:pPr>
              <w:spacing w:before="0" w:after="0"/>
            </w:pPr>
            <w:r>
              <w:rPr>
                <w:rFonts w:ascii="Arial" w:hAnsi="Arial" w:eastAsia="Arial" w:cs="Arial"/>
                <w:color w:val="595959"/>
                <w:sz w:val="20"/>
                <w:szCs w:val="20"/>
              </w:rPr>
              <w:t>Growth spikes of 50–94% in cities like Ahmedabad and Jaipur suggest untapped momentum that is not yet being systematically captured or amplified. A monthly performance dashboard presented to the Board covering revenue growth, customer acquisition, and per-city profitability will enable faster, data-driven capital allocation decisions.</w:t>
            </w:r>
          </w:p>
        </w:tc>
      </w:tr>
    </w:tbl>
    <w:p w14:paraId="5AA55C2F">
      <w:pPr>
        <w:spacing w:before="360" w:after="0"/>
      </w:pPr>
    </w:p>
    <w:p w14:paraId="4DF3E3A2">
      <w:pPr>
        <w:pStyle w:val="2"/>
        <w:pBdr>
          <w:bottom w:val="single" w:color="2E75B6" w:sz="8" w:space="4"/>
        </w:pBdr>
        <w:spacing w:before="360" w:after="120"/>
      </w:pPr>
      <w:r>
        <w:rPr>
          <w:rFonts w:ascii="Arial" w:hAnsi="Arial" w:eastAsia="Arial" w:cs="Arial"/>
          <w:b/>
          <w:bCs/>
          <w:color w:val="1F4E79"/>
          <w:sz w:val="28"/>
          <w:szCs w:val="28"/>
        </w:rPr>
        <w:t>4.  Conclusion</w:t>
      </w:r>
    </w:p>
    <w:p w14:paraId="49C4A5BE">
      <w:pPr>
        <w:spacing w:before="80" w:after="80"/>
      </w:pPr>
      <w:r>
        <w:rPr>
          <w:rFonts w:ascii="Arial" w:hAnsi="Arial" w:eastAsia="Arial" w:cs="Arial"/>
          <w:color w:val="2C2C2C"/>
          <w:sz w:val="22"/>
          <w:szCs w:val="22"/>
        </w:rPr>
        <w:t>Monday Coffee is well-positioned for growth. The data confirms a premium market exists, concentrated in Pune, Chennai, and Bangalore, where strong customer economics justify accelerated investment. Simultaneously, large, under-served markets in Delhi and Mumbai offer meaningful near-term upside. Executing against these five recommendations will strengthen Monday Coffee's competitive position, improve capital efficiency, and build a foundation for disciplined, data-led national expansion.</w:t>
      </w:r>
    </w:p>
    <w:p w14:paraId="1C460248">
      <w:pPr>
        <w:spacing w:before="80" w:after="0"/>
      </w:pPr>
    </w:p>
    <w:p w14:paraId="125E00FF">
      <w:pPr>
        <w:spacing w:before="80" w:after="80"/>
        <w:rPr>
          <w:lang w:val="en-US"/>
        </w:rPr>
      </w:pPr>
      <w:r>
        <w:rPr>
          <w:rFonts w:cs="Arial"/>
          <w:i/>
          <w:iCs/>
          <w:color w:val="595959"/>
          <w:sz w:val="18"/>
          <w:szCs w:val="18"/>
          <w:lang w:val="en-US"/>
        </w:rPr>
        <w:t>Report by Adebisi Farouk Boluwatife | Data Analyst .</w:t>
      </w:r>
    </w:p>
    <w:sectPr>
      <w:footerReference r:id="rId3" w:type="default"/>
      <w:pgSz w:w="12240" w:h="15840"/>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86"/>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56489">
    <w:pPr>
      <w:pBdr>
        <w:top w:val="single" w:color="2E75B6" w:sz="4" w:space="6"/>
      </w:pBdr>
      <w:jc w:val="center"/>
    </w:pPr>
    <w:r>
      <w:rPr>
        <w:rFonts w:ascii="Arial" w:hAnsi="Arial" w:eastAsia="Arial" w:cs="Arial"/>
        <w:color w:val="595959"/>
        <w:sz w:val="18"/>
        <w:szCs w:val="18"/>
      </w:rPr>
      <w:t xml:space="preserve">Monday Coffee  |  Board Executive Summary  |  Confidential  |  Page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PAGE</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semiHidden="0" w:name="endnote reference"/>
    <w:lsdException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color w:val="2C2C2C"/>
      <w:sz w:val="22"/>
      <w:szCs w:val="22"/>
    </w:rPr>
  </w:style>
  <w:style w:type="paragraph" w:styleId="2">
    <w:name w:val="heading 1"/>
    <w:next w:val="1"/>
    <w:qFormat/>
    <w:uiPriority w:val="0"/>
    <w:pPr>
      <w:spacing w:before="360" w:after="120"/>
      <w:outlineLvl w:val="0"/>
    </w:pPr>
    <w:rPr>
      <w:rFonts w:ascii="Arial" w:hAnsi="Arial" w:eastAsia="Arial" w:cs="Arial"/>
      <w:b/>
      <w:bCs/>
      <w:color w:val="1F4E79"/>
      <w:sz w:val="28"/>
      <w:szCs w:val="28"/>
    </w:rPr>
  </w:style>
  <w:style w:type="paragraph" w:styleId="3">
    <w:name w:val="heading 2"/>
    <w:next w:val="1"/>
    <w:qFormat/>
    <w:uiPriority w:val="0"/>
    <w:pPr>
      <w:spacing w:before="240" w:after="8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6">
    <w:name w:val="Normal Table"/>
    <w:semiHidden/>
    <w:uiPriority w:val="0"/>
    <w:tblPr>
      <w:tblLayout w:type="fixed"/>
      <w:tblCellMar>
        <w:top w:w="0" w:type="dxa"/>
        <w:left w:w="108" w:type="dxa"/>
        <w:bottom w:w="0" w:type="dxa"/>
        <w:right w:w="108" w:type="dxa"/>
      </w:tblCellMar>
    </w:tblPr>
  </w:style>
  <w:style w:type="paragraph" w:styleId="8">
    <w:name w:val="endnote text"/>
    <w:link w:val="20"/>
    <w:unhideWhenUsed/>
    <w:uiPriority w:val="99"/>
    <w:pPr>
      <w:spacing w:after="0" w:line="240" w:lineRule="auto"/>
    </w:pPr>
    <w:rPr>
      <w:rFonts w:ascii="Arial" w:hAnsi="Arial" w:eastAsia="Arial" w:cs="Arial"/>
      <w:color w:val="2C2C2C"/>
      <w:sz w:val="20"/>
      <w:szCs w:val="20"/>
    </w:rPr>
  </w:style>
  <w:style w:type="paragraph" w:styleId="9">
    <w:name w:val="footnote text"/>
    <w:link w:val="19"/>
    <w:unhideWhenUsed/>
    <w:uiPriority w:val="99"/>
    <w:pPr>
      <w:spacing w:after="0" w:line="240" w:lineRule="auto"/>
    </w:pPr>
    <w:rPr>
      <w:rFonts w:ascii="Arial" w:hAnsi="Arial" w:eastAsia="Arial" w:cs="Arial"/>
      <w:color w:val="2C2C2C"/>
      <w:sz w:val="20"/>
      <w:szCs w:val="20"/>
    </w:rPr>
  </w:style>
  <w:style w:type="paragraph" w:styleId="10">
    <w:name w:val="header"/>
    <w:basedOn w:val="1"/>
    <w:uiPriority w:val="0"/>
    <w:pPr>
      <w:tabs>
        <w:tab w:val="center" w:pos="4153"/>
        <w:tab w:val="right" w:pos="8306"/>
      </w:tabs>
      <w:snapToGrid w:val="0"/>
      <w:jc w:val="center"/>
    </w:pPr>
    <w:rPr>
      <w:sz w:val="18"/>
      <w:szCs w:val="18"/>
    </w:rPr>
  </w:style>
  <w:style w:type="paragraph" w:styleId="11">
    <w:name w:val="Title"/>
    <w:qFormat/>
    <w:uiPriority w:val="0"/>
    <w:rPr>
      <w:rFonts w:ascii="Arial" w:hAnsi="Arial" w:eastAsia="Arial" w:cs="Arial"/>
      <w:color w:val="2C2C2C"/>
      <w:sz w:val="56"/>
      <w:szCs w:val="56"/>
    </w:rPr>
  </w:style>
  <w:style w:type="character" w:styleId="13">
    <w:name w:val="endnote reference"/>
    <w:unhideWhenUsed/>
    <w:uiPriority w:val="99"/>
    <w:rPr>
      <w:vertAlign w:val="superscript"/>
    </w:rPr>
  </w:style>
  <w:style w:type="character" w:styleId="14">
    <w:name w:val="footnote reference"/>
    <w:unhideWhenUsed/>
    <w:uiPriority w:val="99"/>
    <w:rPr>
      <w:vertAlign w:val="superscript"/>
    </w:rPr>
  </w:style>
  <w:style w:type="character" w:styleId="15">
    <w:name w:val="Hyperlink"/>
    <w:unhideWhenUsed/>
    <w:uiPriority w:val="99"/>
    <w:rPr>
      <w:color w:val="0563C1"/>
      <w:u w:val="single"/>
    </w:rPr>
  </w:style>
  <w:style w:type="paragraph" w:customStyle="1" w:styleId="17">
    <w:name w:val="Strong1"/>
    <w:qFormat/>
    <w:uiPriority w:val="0"/>
    <w:rPr>
      <w:rFonts w:ascii="Arial" w:hAnsi="Arial" w:eastAsia="Arial" w:cs="Arial"/>
      <w:b/>
      <w:bCs/>
      <w:color w:val="2C2C2C"/>
      <w:sz w:val="22"/>
      <w:szCs w:val="22"/>
    </w:rPr>
  </w:style>
  <w:style w:type="paragraph" w:customStyle="1" w:styleId="18">
    <w:name w:val="List Paragraph"/>
    <w:qFormat/>
    <w:uiPriority w:val="0"/>
    <w:rPr>
      <w:rFonts w:ascii="Arial" w:hAnsi="Arial" w:eastAsia="Arial" w:cs="Arial"/>
      <w:color w:val="2C2C2C"/>
      <w:sz w:val="22"/>
      <w:szCs w:val="22"/>
    </w:rPr>
  </w:style>
  <w:style w:type="character" w:customStyle="1" w:styleId="19">
    <w:name w:val="Footnote Text Char"/>
    <w:link w:val="9"/>
    <w:unhideWhenUsed/>
    <w:uiPriority w:val="99"/>
    <w:rPr>
      <w:sz w:val="20"/>
      <w:szCs w:val="20"/>
    </w:rPr>
  </w:style>
  <w:style w:type="character" w:customStyle="1" w:styleId="20">
    <w:name w:val="Endnote Text Char"/>
    <w:link w:val="8"/>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iPhone</cp:lastModifiedBy>
  <dcterms:modified xsi:type="dcterms:W3CDTF">2026-04-18T18:41:31Z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99B59C434A862CF73BACE3696E457698_31</vt:lpwstr>
  </property>
  <property fmtid="{D5CDD505-2E9C-101B-9397-08002B2CF9AE}" pid="3" name="KSOProductBuildVer">
    <vt:lpwstr>3081-11.37.40</vt:lpwstr>
  </property>
</Properties>
</file>