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Frontier Elements: A Comprehensive Analysis of Twelve Elements from Three-Digit Numerical Sequences</w:t>
      </w:r>
    </w:p>
    <w:p>
      <w:pPr>
        <w:pStyle w:val="Subtitle"/>
      </w:pPr>
      <w:r>
        <w:t xml:space="preserve">From Ancient Gold to Superheavy Oganesson: Spanning the Complete Periodic Table</w:t>
      </w:r>
    </w:p>
    <w:p>
      <w:pPr>
        <w:spacing w:before="480" w:after="240"/>
        <w:jc w:val="center"/>
      </w:pPr>
      <w:r>
        <w:rPr>
          <w:color w:val="666666"/>
          <w:sz w:val="24"/>
          <w:szCs w:val="24"/>
        </w:rPr>
        <w:t xml:space="preserve">Research White Paper</w:t>
      </w:r>
    </w:p>
    <w:p>
      <w:pPr>
        <w:spacing w:after="120"/>
        <w:jc w:val="center"/>
      </w:pPr>
      <w:r>
        <w:rPr>
          <w:color w:val="666666"/>
          <w:sz w:val="22"/>
          <w:szCs w:val="22"/>
        </w:rPr>
        <w:t xml:space="preserve">November 2025</w:t>
      </w:r>
    </w:p>
    <w:p>
      <w:r>
        <w:br w:type="page"/>
      </w:r>
    </w:p>
    <w:p>
      <w:pPr>
        <w:pStyle w:val="Heading1"/>
      </w:pPr>
      <w:r>
        <w:t xml:space="preserve">Abstract</w:t>
      </w:r>
    </w:p>
    <w:p>
      <w:pPr>
        <w:spacing w:after="180"/>
      </w:pPr>
      <w:r>
        <w:t xml:space="preserve">This white paper presents a detailed examination of twelve elements derived from three 60-digit numerical sequences parsed as three-digit atomic numbers. When the RED, BLACK, and BLUE sequences are interpreted using three-digit blocks, only 12 of the resulting 60 numbers correspond to valid elements within the current periodic table (Z=1 to Z=118). These twelve elements span the entire periodic table from sodium (Z=11) to oganesson (Z=118), representing diverse chemical families, discovery periods, and applications.</w:t>
      </w:r>
    </w:p>
    <w:p>
      <w:pPr>
        <w:spacing w:after="180"/>
      </w:pPr>
      <w:r>
        <w:t xml:space="preserve">The RED sequence yields three elements: nihonium (Nh, Z=113), gallium (Ga, Z=31), and gold (Au, Z=79), characterized by technological applications and economic value. The BLACK sequence produces four elements: sodium (Na, Z=11), iridium (Ir, Z=77), einsteinium (Es, Z=99), and arsenic (As, Z=33), distinguished by extreme physical properties and biological significance ranging from essential to lethal. The BLUE sequence generates five elements: magnesium (Mg, Z=12), krypton (Kr, Z=36), oganesson (Og, Z=118), californium (Cf, Z=98), and tungsten (W, Z=74), notable for record-breaking properties including the heaviest known element, highest melting point, and most expensive material.</w:t>
      </w:r>
    </w:p>
    <w:p>
      <w:pPr>
        <w:spacing w:after="180"/>
      </w:pPr>
      <w:r>
        <w:t xml:space="preserve">Statistical analysis reveals that 42% of these elements are synthetic or highly radioactive with no stable isotopes, significantly exceeding the natural occurrence rate. Discovery dates range from antiquity (gold) to 2002 (oganesson), representing over 6,000 years of chemical knowledge accumulation. The analysis explores physical properties, biological roles, economic significance, discovery histories, and technological applications. These twelve elements collectively represent frontier chemistry, from ancient precious metals to modern superheavy elements that exist for mere milliseconds, illustrating the breadth and depth of human understanding of matter across atomic numbers, chemical behaviors, and practical applications.</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180"/>
      </w:pPr>
      <w:r>
        <w:t xml:space="preserve">The periodic table of chemical elements stands as one of humanity's greatest intellectual achievements, organizing 118 known elements according to atomic number, electron configuration, and recurring chemical properties. This organizational framework reveals fundamental patterns in nature and enables prediction of elemental behavior. Within this systematic arrangement exist elements as ancient as human civilization itself alongside elements created only within the past two decades, existing for fractions of a second before radioactive decay.</w:t>
      </w:r>
    </w:p>
    <w:p>
      <w:pPr>
        <w:spacing w:after="180"/>
      </w:pPr>
      <w:r>
        <w:t xml:space="preserve">This study examines twelve specific elements selected through a unique methodology: parsing three 60-digit numerical sequences as three-digit atomic numbers. While the mathematical sequences generate 60 numbers total, only twelve fall within the valid range of known elements (Z=1 to Z=118). The remaining 48 numbers exceed current periodic table boundaries, corresponding to hypothetical superheavy elements not yet synthesized.</w:t>
      </w:r>
    </w:p>
    <w:p>
      <w:pPr>
        <w:spacing w:after="180"/>
      </w:pPr>
      <w:r>
        <w:t xml:space="preserve">These twelve elements span nearly the entire periodic table, from sodium at position 11 to oganesson at position 118. They represent eight different chemical groups, include both ancient and modern discoveries, range from biologically essential to highly toxic, and encompass natural abundance to synthetic rarity. This diversity makes them ideal subjects for exploring the breadth of chemical knowledge and the evolution of element discovery.</w:t>
      </w:r>
    </w:p>
    <w:p>
      <w:pPr>
        <w:pStyle w:val="Heading2"/>
      </w:pPr>
      <w:r>
        <w:t xml:space="preserve">1.1 The Three Sequences</w:t>
      </w:r>
    </w:p>
    <w:p>
      <w:pPr>
        <w:spacing w:after="120"/>
      </w:pPr>
      <w:r>
        <w:t xml:space="preserve">The original 60-digit sequences, when parsed into three-digit blocks, yield:</w:t>
      </w:r>
    </w:p>
    <w:p>
      <w:pPr>
        <w:spacing w:after="120"/>
      </w:pPr>
      <w:r>
        <w:rPr>
          <w:b/>
          <w:bCs/>
        </w:rPr>
        <w:t xml:space="preserve">RED Sequence:</w:t>
      </w:r>
    </w:p>
    <w:p>
      <w:pPr>
        <w:spacing w:after="120"/>
      </w:pPr>
      <w:r>
        <w:t xml:space="preserve">Original: 113031491493585389543778774590997079619617525721567332336510</w:t>
      </w:r>
    </w:p>
    <w:p>
      <w:pPr>
        <w:spacing w:after="120"/>
      </w:pPr>
      <w:r>
        <w:t xml:space="preserve">Parsed: 113-031-491-493-585-389-543-778-774-590-997-079-619-617-525-721-567-332-336-510</w:t>
      </w:r>
    </w:p>
    <w:p>
      <w:pPr>
        <w:spacing w:after="180"/>
      </w:pPr>
      <w:r>
        <w:rPr>
          <w:b/>
          <w:bCs/>
          <w:color w:val="CC0000"/>
        </w:rPr>
        <w:t xml:space="preserve">Valid elements: Nihonium (113), Gallium (031), Gold (079)</w:t>
      </w:r>
    </w:p>
    <w:p>
      <w:pPr>
        <w:spacing w:after="120"/>
      </w:pPr>
      <w:r>
        <w:rPr>
          <w:b/>
          <w:bCs/>
        </w:rPr>
        <w:t xml:space="preserve">BLACK Sequence:</w:t>
      </w:r>
    </w:p>
    <w:p>
      <w:pPr>
        <w:spacing w:after="120"/>
      </w:pPr>
      <w:r>
        <w:t xml:space="preserve">Original: 011235831459437077415617853819099875279651673033695493257291</w:t>
      </w:r>
    </w:p>
    <w:p>
      <w:pPr>
        <w:spacing w:after="120"/>
      </w:pPr>
      <w:r>
        <w:t xml:space="preserve">Parsed: 011-235-831-459-437-077-415-617-853-819-099-875-279-651-673-033-695-493-257-291</w:t>
      </w:r>
    </w:p>
    <w:p>
      <w:pPr>
        <w:spacing w:after="180"/>
      </w:pPr>
      <w:r>
        <w:rPr>
          <w:b/>
          <w:bCs/>
          <w:color w:val="000000"/>
        </w:rPr>
        <w:t xml:space="preserve">Valid elements: Sodium (011), Iridium (077), Einsteinium (099), Arsenic (033)</w:t>
      </w:r>
    </w:p>
    <w:p>
      <w:pPr>
        <w:spacing w:after="120"/>
      </w:pPr>
      <w:r>
        <w:rPr>
          <w:b/>
          <w:bCs/>
        </w:rPr>
        <w:t xml:space="preserve">BLUE Sequence:</w:t>
      </w:r>
    </w:p>
    <w:p>
      <w:pPr>
        <w:spacing w:after="120"/>
      </w:pPr>
      <w:r>
        <w:t xml:space="preserve">Original: 012776329785893036118967145479098334781325217074992143965631</w:t>
      </w:r>
    </w:p>
    <w:p>
      <w:pPr>
        <w:spacing w:after="120"/>
      </w:pPr>
      <w:r>
        <w:t xml:space="preserve">Parsed: 012-776-329-785-893-036-118-967-145-479-098-334-781-325-217-074-992-143-965-631</w:t>
      </w:r>
    </w:p>
    <w:p>
      <w:pPr>
        <w:spacing w:after="180"/>
      </w:pPr>
      <w:r>
        <w:rPr>
          <w:b/>
          <w:bCs/>
          <w:color w:val="0066CC"/>
        </w:rPr>
        <w:t xml:space="preserve">Valid elements: Magnesium (012), Krypton (036), Oganesson (118), Californium (098), Tungsten (074)</w:t>
      </w:r>
    </w:p>
    <w:p>
      <w:pPr>
        <w:pStyle w:val="Heading2"/>
      </w:pPr>
      <w:r>
        <w:t xml:space="preserve">1.2 Research Scope</w:t>
      </w:r>
    </w:p>
    <w:p>
      <w:pPr>
        <w:spacing w:after="180"/>
      </w:pPr>
      <w:r>
        <w:t xml:space="preserve">This analysis examines each of the twelve valid elements across multiple dimensions: discovery history, physical and chemical properties, natural occurrence and abundance, biological significance, economic value, technological applications, and nuclear characteristics. The comparative approach reveals how these elements collectively illustrate fundamental principles of chemistry, nuclear physics, and materials science while demonstrating the progression of scientific knowledge from ancient metallurgy to modern particle accelerator physics.</w:t>
      </w:r>
    </w:p>
    <w:p>
      <w:r>
        <w:br w:type="page"/>
      </w:r>
    </w:p>
    <w:p>
      <w:pPr>
        <w:pStyle w:val="Heading1"/>
      </w:pPr>
      <w:r>
        <w:t xml:space="preserve">2. Methodology</w:t>
      </w:r>
    </w:p>
    <w:p>
      <w:pPr>
        <w:pStyle w:val="Heading2"/>
      </w:pPr>
      <w:r>
        <w:t xml:space="preserve">2.1 Sequence Parsing Protocol</w:t>
      </w:r>
    </w:p>
    <w:p>
      <w:pPr>
        <w:spacing w:after="180"/>
      </w:pPr>
      <w:r>
        <w:t xml:space="preserve">Each 60-digit sequence was systematically divided into consecutive three-digit blocks, yielding 20 numbers per sequence (60 total across all three). These numbers were then evaluated against the valid atomic number range (Z=1 to Z=118). Numbers within this range correspond to known elements, while those exceeding 118 represent hypothetical superheavy elements beyond current synthesis capabilities.</w:t>
      </w:r>
    </w:p>
    <w:p>
      <w:pPr>
        <w:spacing w:after="180"/>
      </w:pPr>
      <w:r>
        <w:t xml:space="preserve">The parsing produced a 20% success rate overall, with 12 valid elements from 60 total numbers. Success rates varied by sequence: RED yielded 15% validity (3/20), BLACK produced 20% validity (4/20), and BLUE achieved 25% validity (5/20). This variation reflects the statistical distribution of numbers within each sequence rather than any inherent chemical significance.</w:t>
      </w:r>
    </w:p>
    <w:p>
      <w:pPr>
        <w:pStyle w:val="Heading2"/>
      </w:pPr>
      <w:r>
        <w:t xml:space="preserve">2.2 Data Collection and Classification</w:t>
      </w:r>
    </w:p>
    <w:p>
      <w:pPr>
        <w:spacing w:after="180"/>
      </w:pPr>
      <w:r>
        <w:t xml:space="preserve">For each valid element, comprehensive data was compiled from authoritative sources including IUPAC periodic table data, peer-reviewed chemistry literature, nuclear physics databases, and materials science references. Elements were classified according to multiple taxonomies:</w:t>
      </w:r>
    </w:p>
    <w:p>
      <w:pPr>
        <w:pStyle w:val="Heading3"/>
      </w:pPr>
      <w:r>
        <w:t xml:space="preserve">2.2.1 Chemical Classification</w:t>
      </w:r>
    </w:p>
    <w:p>
      <w:pPr>
        <w:pStyle w:val="ListParagraph"/>
        <w:numPr>
          <w:ilvl w:val="0"/>
          <w:numId w:val="2"/>
        </w:numPr>
      </w:pPr>
      <w:r>
        <w:t xml:space="preserve">Periodic table group and period</w:t>
      </w:r>
    </w:p>
    <w:p>
      <w:pPr>
        <w:pStyle w:val="ListParagraph"/>
        <w:numPr>
          <w:ilvl w:val="0"/>
          <w:numId w:val="2"/>
        </w:numPr>
      </w:pPr>
      <w:r>
        <w:t xml:space="preserve">Chemical family (alkali metal, noble gas, transition metal, etc.)</w:t>
      </w:r>
    </w:p>
    <w:p>
      <w:pPr>
        <w:pStyle w:val="ListParagraph"/>
        <w:numPr>
          <w:ilvl w:val="0"/>
          <w:numId w:val="2"/>
        </w:numPr>
      </w:pPr>
      <w:r>
        <w:t xml:space="preserve">Block designation (s, p, d, f)</w:t>
      </w:r>
    </w:p>
    <w:p>
      <w:pPr>
        <w:pStyle w:val="ListParagraph"/>
        <w:numPr>
          <w:ilvl w:val="0"/>
          <w:numId w:val="2"/>
        </w:numPr>
      </w:pPr>
      <w:r>
        <w:t xml:space="preserve">Oxidation states and electronic configuration</w:t>
      </w:r>
    </w:p>
    <w:p>
      <w:pPr>
        <w:pStyle w:val="Heading3"/>
      </w:pPr>
      <w:r>
        <w:t xml:space="preserve">2.2.2 Physical Properties</w:t>
      </w:r>
    </w:p>
    <w:p>
      <w:pPr>
        <w:pStyle w:val="ListParagraph"/>
        <w:numPr>
          <w:ilvl w:val="0"/>
          <w:numId w:val="2"/>
        </w:numPr>
      </w:pPr>
      <w:r>
        <w:t xml:space="preserve">Atomic mass and density</w:t>
      </w:r>
    </w:p>
    <w:p>
      <w:pPr>
        <w:pStyle w:val="ListParagraph"/>
        <w:numPr>
          <w:ilvl w:val="0"/>
          <w:numId w:val="2"/>
        </w:numPr>
      </w:pPr>
      <w:r>
        <w:t xml:space="preserve">Melting and boiling points</w:t>
      </w:r>
    </w:p>
    <w:p>
      <w:pPr>
        <w:pStyle w:val="ListParagraph"/>
        <w:numPr>
          <w:ilvl w:val="0"/>
          <w:numId w:val="2"/>
        </w:numPr>
      </w:pPr>
      <w:r>
        <w:t xml:space="preserve">Crystal structure and phase at standard conditions</w:t>
      </w:r>
    </w:p>
    <w:p>
      <w:pPr>
        <w:pStyle w:val="ListParagraph"/>
        <w:numPr>
          <w:ilvl w:val="0"/>
          <w:numId w:val="2"/>
        </w:numPr>
      </w:pPr>
      <w:r>
        <w:t xml:space="preserve">Electrical and thermal conductivity</w:t>
      </w:r>
    </w:p>
    <w:p>
      <w:pPr>
        <w:pStyle w:val="Heading3"/>
      </w:pPr>
      <w:r>
        <w:t xml:space="preserve">2.2.3 Natural Occurrence</w:t>
      </w:r>
    </w:p>
    <w:p>
      <w:pPr>
        <w:pStyle w:val="ListParagraph"/>
        <w:numPr>
          <w:ilvl w:val="0"/>
          <w:numId w:val="2"/>
        </w:numPr>
      </w:pPr>
      <w:r>
        <w:t xml:space="preserve">Synthetic versus naturally occurring</w:t>
      </w:r>
    </w:p>
    <w:p>
      <w:pPr>
        <w:pStyle w:val="ListParagraph"/>
        <w:numPr>
          <w:ilvl w:val="0"/>
          <w:numId w:val="2"/>
        </w:numPr>
      </w:pPr>
      <w:r>
        <w:t xml:space="preserve">Crustal abundance (parts per million)</w:t>
      </w:r>
    </w:p>
    <w:p>
      <w:pPr>
        <w:pStyle w:val="ListParagraph"/>
        <w:numPr>
          <w:ilvl w:val="0"/>
          <w:numId w:val="2"/>
        </w:numPr>
      </w:pPr>
      <w:r>
        <w:t xml:space="preserve">Primary mineral sources and extraction methods</w:t>
      </w:r>
    </w:p>
    <w:p>
      <w:pPr>
        <w:pStyle w:val="ListParagraph"/>
        <w:numPr>
          <w:ilvl w:val="0"/>
          <w:numId w:val="2"/>
        </w:numPr>
      </w:pPr>
      <w:r>
        <w:t xml:space="preserve">Cosmological origin and nucleosynthetic pathway</w:t>
      </w:r>
    </w:p>
    <w:p>
      <w:pPr>
        <w:pStyle w:val="Heading3"/>
      </w:pPr>
      <w:r>
        <w:t xml:space="preserve">2.2.4 Biological and Toxicological Assessment</w:t>
      </w:r>
    </w:p>
    <w:p>
      <w:pPr>
        <w:pStyle w:val="ListParagraph"/>
        <w:numPr>
          <w:ilvl w:val="0"/>
          <w:numId w:val="2"/>
        </w:numPr>
      </w:pPr>
      <w:r>
        <w:t xml:space="preserve">Essential, beneficial, inert, or toxic classification</w:t>
      </w:r>
    </w:p>
    <w:p>
      <w:pPr>
        <w:pStyle w:val="ListParagraph"/>
        <w:numPr>
          <w:ilvl w:val="0"/>
          <w:numId w:val="2"/>
        </w:numPr>
      </w:pPr>
      <w:r>
        <w:t xml:space="preserve">Biological roles and biochemical mechanisms</w:t>
      </w:r>
    </w:p>
    <w:p>
      <w:pPr>
        <w:pStyle w:val="ListParagraph"/>
        <w:numPr>
          <w:ilvl w:val="0"/>
          <w:numId w:val="2"/>
        </w:numPr>
      </w:pPr>
      <w:r>
        <w:t xml:space="preserve">Toxicity mechanisms and exposure routes</w:t>
      </w:r>
    </w:p>
    <w:p>
      <w:pPr>
        <w:pStyle w:val="ListParagraph"/>
        <w:numPr>
          <w:ilvl w:val="0"/>
          <w:numId w:val="2"/>
        </w:numPr>
      </w:pPr>
      <w:r>
        <w:t xml:space="preserve">Daily requirements or safe exposure limits</w:t>
      </w:r>
    </w:p>
    <w:p>
      <w:pPr>
        <w:pStyle w:val="Heading3"/>
      </w:pPr>
      <w:r>
        <w:t xml:space="preserve">2.2.5 Discovery and Historical Context</w:t>
      </w:r>
    </w:p>
    <w:p>
      <w:pPr>
        <w:pStyle w:val="ListParagraph"/>
        <w:numPr>
          <w:ilvl w:val="0"/>
          <w:numId w:val="2"/>
        </w:numPr>
      </w:pPr>
      <w:r>
        <w:t xml:space="preserve">Discovery date and discoverer(s)</w:t>
      </w:r>
    </w:p>
    <w:p>
      <w:pPr>
        <w:pStyle w:val="ListParagraph"/>
        <w:numPr>
          <w:ilvl w:val="0"/>
          <w:numId w:val="2"/>
        </w:numPr>
      </w:pPr>
      <w:r>
        <w:t xml:space="preserve">Discovery methodology and historical context</w:t>
      </w:r>
    </w:p>
    <w:p>
      <w:pPr>
        <w:pStyle w:val="ListParagraph"/>
        <w:numPr>
          <w:ilvl w:val="0"/>
          <w:numId w:val="2"/>
        </w:numPr>
      </w:pPr>
      <w:r>
        <w:t xml:space="preserve">Etymology and naming rationale</w:t>
      </w:r>
    </w:p>
    <w:p>
      <w:pPr>
        <w:pStyle w:val="ListParagraph"/>
        <w:numPr>
          <w:ilvl w:val="0"/>
          <w:numId w:val="2"/>
        </w:numPr>
      </w:pPr>
      <w:r>
        <w:t xml:space="preserve">Historical applications and cultural significance</w:t>
      </w:r>
    </w:p>
    <w:p>
      <w:pPr>
        <w:pStyle w:val="Heading2"/>
      </w:pPr>
      <w:r>
        <w:t xml:space="preserve">2.3 Comparative Analysis Framework</w:t>
      </w:r>
    </w:p>
    <w:p>
      <w:pPr>
        <w:spacing w:after="180"/>
      </w:pPr>
      <w:r>
        <w:t xml:space="preserve">Elements were compared both within individual sequences (RED, BLACK, BLUE) and across sequences. Statistical analysis included calculation of mean atomic numbers, standard deviations, and distributions across chemical families. Patterns in discovery dates, physical properties, and applications were identified and analyzed for sequence-specific characteristics.</w:t>
      </w:r>
    </w:p>
    <w:p>
      <w:r>
        <w:br w:type="page"/>
      </w:r>
    </w:p>
    <w:p>
      <w:pPr>
        <w:pStyle w:val="Heading1"/>
      </w:pPr>
      <w:r>
        <w:t xml:space="preserve">3. Individual Element Profiles</w:t>
      </w:r>
    </w:p>
    <w:p>
      <w:pPr>
        <w:spacing w:after="180"/>
      </w:pPr>
      <w:r>
        <w:t xml:space="preserve">This section presents comprehensive profiles for each of the twelve elements, organized by sequence. Each profile provides essential data, discovery history, physical and chemical properties, biological significance, applications, and unique characteristics.</w:t>
      </w:r>
    </w:p>
    <w:p>
      <w:pPr>
        <w:pStyle w:val="Heading2"/>
      </w:pPr>
      <w:r>
        <w:t xml:space="preserve">3.1 RED Sequence Elements</w:t>
      </w:r>
    </w:p>
    <w:p>
      <w:pPr>
        <w:pStyle w:val="Heading3"/>
      </w:pPr>
      <w:r>
        <w:t xml:space="preserve">3.1.1 Nihonium (Nh, Z=113)</w:t>
      </w:r>
    </w:p>
    <w:p>
      <w:pPr>
        <w:spacing w:after="120"/>
      </w:pPr>
      <w:r>
        <w:rPr>
          <w:b/>
          <w:bCs/>
        </w:rPr>
        <w:t xml:space="preserve">Basic Properties</w:t>
      </w:r>
    </w:p>
    <w:p>
      <w:pPr>
        <w:pStyle w:val="ListParagraph"/>
        <w:numPr>
          <w:ilvl w:val="0"/>
          <w:numId w:val="2"/>
        </w:numPr>
      </w:pPr>
      <w:r>
        <w:t xml:space="preserve">Atomic Number: 113 | Symbol: Nh | Atomic Mass: [286] (most stable isotope)</w:t>
      </w:r>
    </w:p>
    <w:p>
      <w:pPr>
        <w:pStyle w:val="ListParagraph"/>
        <w:numPr>
          <w:ilvl w:val="0"/>
          <w:numId w:val="2"/>
        </w:numPr>
      </w:pPr>
      <w:r>
        <w:t xml:space="preserve">Group: 13 (Boron group) | Period: 7 | Block: p-block</w:t>
      </w:r>
    </w:p>
    <w:p>
      <w:pPr>
        <w:pStyle w:val="ListParagraph"/>
        <w:numPr>
          <w:ilvl w:val="0"/>
          <w:numId w:val="2"/>
        </w:numPr>
      </w:pPr>
      <w:r>
        <w:t xml:space="preserve">Classification: Post-transition metal, superheavy element</w:t>
      </w:r>
    </w:p>
    <w:p>
      <w:pPr>
        <w:pStyle w:val="ListParagraph"/>
        <w:numPr>
          <w:ilvl w:val="0"/>
          <w:numId w:val="2"/>
        </w:numPr>
      </w:pPr>
      <w:r>
        <w:t xml:space="preserve">Predicted phase: Solid (if sufficient quantity existed)</w:t>
      </w:r>
    </w:p>
    <w:p>
      <w:pPr>
        <w:spacing w:before="120" w:after="120"/>
      </w:pPr>
      <w:r>
        <w:rPr>
          <w:b/>
          <w:bCs/>
        </w:rPr>
        <w:t xml:space="preserve">Discovery and History</w:t>
      </w:r>
    </w:p>
    <w:p>
      <w:pPr>
        <w:spacing w:after="180"/>
      </w:pPr>
      <w:r>
        <w:t xml:space="preserve">Nihonium was first synthesized in 2004 by researchers at RIKEN's Nishina Center for Accelerator-Based Science in Japan, led by Kosuke Morita. The team bombarded bismuth-209 targets with zinc-70 ions in a linear accelerator, successfully producing three atoms of element 113 over the course of several years. The discovery was officially recognized by IUPAC in 2015, and the element was named nihonium in 2016, derived from 'Nihon,' the Japanese word for Japan. This marked the first element discovered in Asia to be added to the periodic table.</w:t>
      </w:r>
    </w:p>
    <w:p>
      <w:pPr>
        <w:spacing w:after="120"/>
      </w:pPr>
      <w:r>
        <w:rPr>
          <w:b/>
          <w:bCs/>
        </w:rPr>
        <w:t xml:space="preserve">Nuclear Properties</w:t>
      </w:r>
    </w:p>
    <w:p>
      <w:pPr>
        <w:pStyle w:val="ListParagraph"/>
        <w:numPr>
          <w:ilvl w:val="0"/>
          <w:numId w:val="2"/>
        </w:numPr>
      </w:pPr>
      <w:r>
        <w:t xml:space="preserve">Most stable isotope: Nihonium-286 with half-life of approximately 10 seconds</w:t>
      </w:r>
    </w:p>
    <w:p>
      <w:pPr>
        <w:pStyle w:val="ListParagraph"/>
        <w:numPr>
          <w:ilvl w:val="0"/>
          <w:numId w:val="2"/>
        </w:numPr>
      </w:pPr>
      <w:r>
        <w:t xml:space="preserve">Decay mode: Alpha decay to roentgenium-282</w:t>
      </w:r>
    </w:p>
    <w:p>
      <w:pPr>
        <w:pStyle w:val="ListParagraph"/>
        <w:numPr>
          <w:ilvl w:val="0"/>
          <w:numId w:val="2"/>
        </w:numPr>
      </w:pPr>
      <w:r>
        <w:t xml:space="preserve">Extremely short-lived, only a few atoms ever produced</w:t>
      </w:r>
    </w:p>
    <w:p>
      <w:pPr>
        <w:spacing w:before="120" w:after="180"/>
      </w:pPr>
      <w:r>
        <w:rPr>
          <w:b/>
          <w:bCs/>
        </w:rPr>
        <w:t xml:space="preserve">Significance:</w:t>
      </w:r>
      <w:r>
        <w:t xml:space="preserve"> Nihonium represents the cutting edge of superheavy element synthesis. Its creation required extraordinary precision and patience, with detection of individual atoms occurring months apart. The element has no practical applications beyond fundamental nuclear physics research, serving primarily to test theories of nuclear structure, shell models, and the predicted 'island of stability' where superheavy elements might exhibit longer half-lives.</w:t>
      </w:r>
    </w:p>
    <w:p>
      <w:pPr>
        <w:pStyle w:val="Heading3"/>
      </w:pPr>
      <w:r>
        <w:t xml:space="preserve">3.1.2 Gallium (Ga, Z=31)</w:t>
      </w:r>
    </w:p>
    <w:p>
      <w:pPr>
        <w:spacing w:after="120"/>
      </w:pPr>
      <w:r>
        <w:rPr>
          <w:b/>
          <w:bCs/>
        </w:rPr>
        <w:t xml:space="preserve">Basic Properties</w:t>
      </w:r>
    </w:p>
    <w:p>
      <w:pPr>
        <w:pStyle w:val="ListParagraph"/>
        <w:numPr>
          <w:ilvl w:val="0"/>
          <w:numId w:val="2"/>
        </w:numPr>
      </w:pPr>
      <w:r>
        <w:t xml:space="preserve">Atomic Number: 31 | Symbol: Ga | Atomic Mass: 69.723</w:t>
      </w:r>
    </w:p>
    <w:p>
      <w:pPr>
        <w:pStyle w:val="ListParagraph"/>
        <w:numPr>
          <w:ilvl w:val="0"/>
          <w:numId w:val="2"/>
        </w:numPr>
      </w:pPr>
      <w:r>
        <w:t xml:space="preserve">Group: 13 | Period: 4 | Block: p-block</w:t>
      </w:r>
    </w:p>
    <w:p>
      <w:pPr>
        <w:pStyle w:val="ListParagraph"/>
        <w:numPr>
          <w:ilvl w:val="0"/>
          <w:numId w:val="2"/>
        </w:numPr>
      </w:pPr>
      <w:r>
        <w:t xml:space="preserve">Classification: Post-transition metal</w:t>
      </w:r>
    </w:p>
    <w:p>
      <w:pPr>
        <w:pStyle w:val="ListParagraph"/>
        <w:numPr>
          <w:ilvl w:val="0"/>
          <w:numId w:val="2"/>
        </w:numPr>
      </w:pPr>
      <w:r>
        <w:t xml:space="preserve">Melting Point: 29.76°C | Boiling Point: 2204°C | Density: 5.91 g/cm³</w:t>
      </w:r>
    </w:p>
    <w:p>
      <w:pPr>
        <w:spacing w:before="120" w:after="120"/>
      </w:pPr>
      <w:r>
        <w:rPr>
          <w:b/>
          <w:bCs/>
        </w:rPr>
        <w:t xml:space="preserve">Discovery and History</w:t>
      </w:r>
    </w:p>
    <w:p>
      <w:pPr>
        <w:spacing w:after="180"/>
      </w:pPr>
      <w:r>
        <w:t xml:space="preserve">French chemist Paul-Émile Lecoq de Boisbaudran discovered gallium in 1875 through spectroscopic analysis of zinc blende ore from the Pyrenees. The discovery fulfilled Dmitri Mendeleev's 1871 prediction of an element he called 'eka-aluminum,' which would fill a gap in the periodic table below aluminum. Gallium's name derives from 'Gallia,' the Latin name for France, though some suggest it also honors the discoverer (Lecoq translates to 'the rooster,' and 'gallus' is Latin for rooster).</w:t>
      </w:r>
    </w:p>
    <w:p>
      <w:pPr>
        <w:spacing w:after="120"/>
      </w:pPr>
      <w:r>
        <w:rPr>
          <w:b/>
          <w:bCs/>
        </w:rPr>
        <w:t xml:space="preserve">Unique Physical Properties</w:t>
      </w:r>
    </w:p>
    <w:p>
      <w:pPr>
        <w:spacing w:after="180"/>
      </w:pPr>
      <w:r>
        <w:t xml:space="preserve">Gallium exhibits the remarkable property of melting in the human hand due to its unusually low melting point of 29.76°C, one of only four metals that are liquid at or near room temperature (along with mercury, cesium, and rubidium). Conversely, it has an extraordinarily large liquid range, remaining liquid up to 2204°C. Gallium expands upon solidification, similar to water, which can crack containers. The pure metal is silver-white and extremely soft.</w:t>
      </w:r>
    </w:p>
    <w:p>
      <w:pPr>
        <w:spacing w:after="120"/>
      </w:pPr>
      <w:r>
        <w:rPr>
          <w:b/>
          <w:bCs/>
        </w:rPr>
        <w:t xml:space="preserve">Applications and Technology</w:t>
      </w:r>
    </w:p>
    <w:p>
      <w:pPr>
        <w:pStyle w:val="ListParagraph"/>
        <w:numPr>
          <w:ilvl w:val="0"/>
          <w:numId w:val="2"/>
        </w:numPr>
      </w:pPr>
      <w:r>
        <w:t xml:space="preserve">Semiconductors: Gallium arsenide (GaAs) and gallium nitride (GaN) are crucial for LEDs, laser diodes, and high-frequency electronics</w:t>
      </w:r>
    </w:p>
    <w:p>
      <w:pPr>
        <w:pStyle w:val="ListParagraph"/>
        <w:numPr>
          <w:ilvl w:val="0"/>
          <w:numId w:val="2"/>
        </w:numPr>
      </w:pPr>
      <w:r>
        <w:t xml:space="preserve">Solar cells: High-efficiency photovoltaic cells for space applications</w:t>
      </w:r>
    </w:p>
    <w:p>
      <w:pPr>
        <w:pStyle w:val="ListParagraph"/>
        <w:numPr>
          <w:ilvl w:val="0"/>
          <w:numId w:val="2"/>
        </w:numPr>
      </w:pPr>
      <w:r>
        <w:t xml:space="preserve">Integrated circuits: Faster switching speeds than silicon in specialized applications</w:t>
      </w:r>
    </w:p>
    <w:p>
      <w:pPr>
        <w:pStyle w:val="ListParagraph"/>
        <w:numPr>
          <w:ilvl w:val="0"/>
          <w:numId w:val="2"/>
        </w:numPr>
      </w:pPr>
      <w:r>
        <w:t xml:space="preserve">Medical imaging: Gallium-67 isotope used in nuclear medicine for tumor detection</w:t>
      </w:r>
    </w:p>
    <w:p>
      <w:pPr>
        <w:spacing w:before="120" w:after="180"/>
      </w:pPr>
      <w:r>
        <w:rPr>
          <w:b/>
          <w:bCs/>
        </w:rPr>
        <w:t xml:space="preserve">Economic Significance:</w:t>
      </w:r>
      <w:r>
        <w:t xml:space="preserve"> Gallium is produced primarily as a byproduct of aluminum and zinc refining. Global production is approximately 300 metric tons annually. With the expansion of LED lighting and 5G telecommunications, gallium demand has increased significantly, making it strategically important for modern electronics.</w:t>
      </w:r>
    </w:p>
    <w:p>
      <w:pPr>
        <w:pStyle w:val="Heading3"/>
      </w:pPr>
      <w:r>
        <w:t xml:space="preserve">3.1.3 Gold (Au, Z=79)</w:t>
      </w:r>
    </w:p>
    <w:p>
      <w:pPr>
        <w:spacing w:after="120"/>
      </w:pPr>
      <w:r>
        <w:rPr>
          <w:b/>
          <w:bCs/>
        </w:rPr>
        <w:t xml:space="preserve">Basic Properties</w:t>
      </w:r>
    </w:p>
    <w:p>
      <w:pPr>
        <w:pStyle w:val="ListParagraph"/>
        <w:numPr>
          <w:ilvl w:val="0"/>
          <w:numId w:val="2"/>
        </w:numPr>
      </w:pPr>
      <w:r>
        <w:t xml:space="preserve">Atomic Number: 79 | Symbol: Au | Atomic Mass: 196.967</w:t>
      </w:r>
    </w:p>
    <w:p>
      <w:pPr>
        <w:pStyle w:val="ListParagraph"/>
        <w:numPr>
          <w:ilvl w:val="0"/>
          <w:numId w:val="2"/>
        </w:numPr>
      </w:pPr>
      <w:r>
        <w:t xml:space="preserve">Group: 11 | Period: 6 | Block: d-block</w:t>
      </w:r>
    </w:p>
    <w:p>
      <w:pPr>
        <w:pStyle w:val="ListParagraph"/>
        <w:numPr>
          <w:ilvl w:val="0"/>
          <w:numId w:val="2"/>
        </w:numPr>
      </w:pPr>
      <w:r>
        <w:t xml:space="preserve">Classification: Transition metal, noble metal</w:t>
      </w:r>
    </w:p>
    <w:p>
      <w:pPr>
        <w:pStyle w:val="ListParagraph"/>
        <w:numPr>
          <w:ilvl w:val="0"/>
          <w:numId w:val="2"/>
        </w:numPr>
      </w:pPr>
      <w:r>
        <w:t xml:space="preserve">Melting Point: 1064°C | Boiling Point: 2856°C | Density: 19.32 g/cm³</w:t>
      </w:r>
    </w:p>
    <w:p>
      <w:pPr>
        <w:spacing w:before="120" w:after="120"/>
      </w:pPr>
      <w:r>
        <w:rPr>
          <w:b/>
          <w:bCs/>
        </w:rPr>
        <w:t xml:space="preserve">Historical Significance</w:t>
      </w:r>
    </w:p>
    <w:p>
      <w:pPr>
        <w:spacing w:after="180"/>
      </w:pPr>
      <w:r>
        <w:t xml:space="preserve">Gold is one of the first metals worked by humans, with archaeological evidence of gold artifacts dating to approximately 4600 BCE in the Varna Necropolis, Bulgaria. Its chemical symbol Au derives from the Latin 'aurum' meaning 'shining dawn.' Throughout history, gold has been valued for its luster, malleability, and resistance to corrosion. Ancient civilizations from Egypt to Peru used gold extensively for jewelry, religious artifacts, and currency. The metal's historical importance extends to the gold standard in monetary systems, which dominated international finance until the 20th century.</w:t>
      </w:r>
    </w:p>
    <w:p>
      <w:pPr>
        <w:spacing w:after="120"/>
      </w:pPr>
      <w:r>
        <w:rPr>
          <w:b/>
          <w:bCs/>
        </w:rPr>
        <w:t xml:space="preserve">Physical and Chemical Properties</w:t>
      </w:r>
    </w:p>
    <w:p>
      <w:pPr>
        <w:spacing w:after="180"/>
      </w:pPr>
      <w:r>
        <w:t xml:space="preserve">Gold is one of the most noble metals, highly resistant to oxidation and corrosion. It does not tarnish in air and is unaffected by most acids, dissolving only in aqua regia (a mixture of nitric and hydrochloric acids) or in the presence of cyanide and oxygen. Gold is the most malleable and ductile of all metals - one gram can be beaten into a sheet covering one square meter, or drawn into 2.4 kilometers of wire. Its characteristic yellow color results from relativistic effects on its electron structure.</w:t>
      </w:r>
    </w:p>
    <w:p>
      <w:pPr>
        <w:spacing w:after="120"/>
      </w:pPr>
      <w:r>
        <w:rPr>
          <w:b/>
          <w:bCs/>
        </w:rPr>
        <w:t xml:space="preserve">Cosmological Origin</w:t>
      </w:r>
    </w:p>
    <w:p>
      <w:pPr>
        <w:spacing w:after="180"/>
      </w:pPr>
      <w:r>
        <w:t xml:space="preserve">Gold forms through rapid neutron capture (r-process) nucleosynthesis, primarily in neutron star mergers and certain types of supernovae. When two neutron stars collide, the extreme neutron flux enables rapid buildup of heavy nuclei through successive neutron captures before beta decay can occur. Recent gravitational wave observations have confirmed that neutron star mergers produce significant quantities of gold and other heavy elements. Essentially, every gold atom on Earth was forged in these violent cosmic events billions of years ago, then incorporated into the dust cloud that formed our solar system.</w:t>
      </w:r>
    </w:p>
    <w:p>
      <w:pPr>
        <w:spacing w:after="120"/>
      </w:pPr>
      <w:r>
        <w:rPr>
          <w:b/>
          <w:bCs/>
        </w:rPr>
        <w:t xml:space="preserve">Modern Applications</w:t>
      </w:r>
    </w:p>
    <w:p>
      <w:pPr>
        <w:pStyle w:val="ListParagraph"/>
        <w:numPr>
          <w:ilvl w:val="0"/>
          <w:numId w:val="2"/>
        </w:numPr>
      </w:pPr>
      <w:r>
        <w:t xml:space="preserve">Electronics: Superior conductivity and corrosion resistance make gold essential for contacts and connectors</w:t>
      </w:r>
    </w:p>
    <w:p>
      <w:pPr>
        <w:pStyle w:val="ListParagraph"/>
        <w:numPr>
          <w:ilvl w:val="0"/>
          <w:numId w:val="2"/>
        </w:numPr>
      </w:pPr>
      <w:r>
        <w:t xml:space="preserve">Space technology: Reflective coatings for thermal control and radiation shielding</w:t>
      </w:r>
    </w:p>
    <w:p>
      <w:pPr>
        <w:pStyle w:val="ListParagraph"/>
        <w:numPr>
          <w:ilvl w:val="0"/>
          <w:numId w:val="2"/>
        </w:numPr>
      </w:pPr>
      <w:r>
        <w:t xml:space="preserve">Dentistry: Biocompatible alloys for crowns and fillings</w:t>
      </w:r>
    </w:p>
    <w:p>
      <w:pPr>
        <w:pStyle w:val="ListParagraph"/>
        <w:numPr>
          <w:ilvl w:val="0"/>
          <w:numId w:val="2"/>
        </w:numPr>
      </w:pPr>
      <w:r>
        <w:t xml:space="preserve">Medicine: Gold nanoparticles in targeted drug delivery and cancer treatment</w:t>
      </w:r>
    </w:p>
    <w:p>
      <w:pPr>
        <w:pStyle w:val="ListParagraph"/>
        <w:numPr>
          <w:ilvl w:val="0"/>
          <w:numId w:val="2"/>
        </w:numPr>
      </w:pPr>
      <w:r>
        <w:t xml:space="preserve">Investment: Store of value and hedge against inflation</w:t>
      </w:r>
    </w:p>
    <w:p>
      <w:pPr>
        <w:spacing w:before="120" w:after="180"/>
      </w:pPr>
      <w:r>
        <w:rPr>
          <w:b/>
          <w:bCs/>
        </w:rPr>
        <w:t xml:space="preserve">Economic Data:</w:t>
      </w:r>
      <w:r>
        <w:t xml:space="preserve"> Approximately 3,000 metric tons of gold are mined annually worldwide. Total above-ground gold stocks are estimated at 200,000 metric tons. Current price fluctuates around $60,000 per kilogram. Major producing countries include China, Australia, Russia, and the United States.</w:t>
      </w:r>
    </w:p>
    <w:p>
      <w:r>
        <w:br w:type="page"/>
      </w:r>
    </w:p>
    <w:p>
      <w:pPr>
        <w:pStyle w:val="Heading2"/>
      </w:pPr>
      <w:r>
        <w:t xml:space="preserve">3.2 BLACK Sequence Elements</w:t>
      </w:r>
    </w:p>
    <w:p>
      <w:pPr>
        <w:pStyle w:val="Heading3"/>
      </w:pPr>
      <w:r>
        <w:t xml:space="preserve">3.2.1 Sodium (Na, Z=11)</w:t>
      </w:r>
    </w:p>
    <w:p>
      <w:pPr>
        <w:spacing w:after="120"/>
      </w:pPr>
      <w:r>
        <w:rPr>
          <w:b/>
          <w:bCs/>
        </w:rPr>
        <w:t xml:space="preserve">Basic Properties</w:t>
      </w:r>
    </w:p>
    <w:p>
      <w:pPr>
        <w:pStyle w:val="ListParagraph"/>
        <w:numPr>
          <w:ilvl w:val="0"/>
          <w:numId w:val="2"/>
        </w:numPr>
      </w:pPr>
      <w:r>
        <w:t xml:space="preserve">Atomic Number: 11 | Symbol: Na | Atomic Mass: 22.990</w:t>
      </w:r>
    </w:p>
    <w:p>
      <w:pPr>
        <w:pStyle w:val="ListParagraph"/>
        <w:numPr>
          <w:ilvl w:val="0"/>
          <w:numId w:val="2"/>
        </w:numPr>
      </w:pPr>
      <w:r>
        <w:t xml:space="preserve">Group: 1 (Alkali metals) | Period: 3 | Block: s-block</w:t>
      </w:r>
    </w:p>
    <w:p>
      <w:pPr>
        <w:pStyle w:val="ListParagraph"/>
        <w:numPr>
          <w:ilvl w:val="0"/>
          <w:numId w:val="2"/>
        </w:numPr>
      </w:pPr>
      <w:r>
        <w:t xml:space="preserve">Classification: Alkali metal</w:t>
      </w:r>
    </w:p>
    <w:p>
      <w:pPr>
        <w:pStyle w:val="ListParagraph"/>
        <w:numPr>
          <w:ilvl w:val="0"/>
          <w:numId w:val="2"/>
        </w:numPr>
      </w:pPr>
      <w:r>
        <w:t xml:space="preserve">Melting Point: 98°C | Boiling Point: 883°C | Density: 0.97 g/cm³</w:t>
      </w:r>
    </w:p>
    <w:p>
      <w:pPr>
        <w:spacing w:before="120" w:after="120"/>
      </w:pPr>
      <w:r>
        <w:rPr>
          <w:b/>
          <w:bCs/>
        </w:rPr>
        <w:t xml:space="preserve">Discovery and Isolation</w:t>
      </w:r>
    </w:p>
    <w:p>
      <w:pPr>
        <w:spacing w:after="180"/>
      </w:pPr>
      <w:r>
        <w:t xml:space="preserve">English chemist Sir Humphry Davy first isolated sodium in 1807 through electrolysis of molten sodium hydroxide (caustic soda). The name derives from the English 'soda,' while its symbol Na comes from the Latin 'natrium,' itself derived from the Greek 'nítron' (meaning native soda or natron, a naturally occurring sodium carbonate). This discovery was part of Davy's groundbreaking work isolating several alkali and alkaline earth metals through electrolysis.</w:t>
      </w:r>
    </w:p>
    <w:p>
      <w:pPr>
        <w:spacing w:after="120"/>
      </w:pPr>
      <w:r>
        <w:rPr>
          <w:b/>
          <w:bCs/>
        </w:rPr>
        <w:t xml:space="preserve">Chemical Reactivity</w:t>
      </w:r>
    </w:p>
    <w:p>
      <w:pPr>
        <w:spacing w:after="180"/>
      </w:pPr>
      <w:r>
        <w:t xml:space="preserve">Sodium is highly reactive, particularly with water, producing sodium hydroxide and hydrogen gas in a vigorous exothermic reaction. The pure metal is soft enough to cut with a knife and must be stored under oil to prevent oxidation. In air, freshly cut sodium quickly tarnishes, forming a dull oxide coating. This extreme reactivity means sodium never occurs naturally as a free element but always as compounds, particularly sodium chloride (table salt) in seawater and salt deposits.</w:t>
      </w:r>
    </w:p>
    <w:p>
      <w:pPr>
        <w:spacing w:after="120"/>
      </w:pPr>
      <w:r>
        <w:rPr>
          <w:b/>
          <w:bCs/>
        </w:rPr>
        <w:t xml:space="preserve">Biological Essentiality</w:t>
      </w:r>
    </w:p>
    <w:p>
      <w:pPr>
        <w:spacing w:after="180"/>
      </w:pPr>
      <w:r>
        <w:t xml:space="preserve">Sodium is absolutely essential for life. As the primary extracellular cation in animal bodies, sodium maintains osmotic balance, regulates blood volume and pressure, and enables nerve impulse transmission through sodium-potassium pumps in cell membranes. The human body contains approximately 100 grams of sodium, with tight regulation maintained by kidneys. Deficiency leads to hyponatremia, while excess causes hypertension. Recommended daily intake is approximately 1,500-2,300 mg. Sodium ions are also critical for muscle contraction and nutrient absorption.</w:t>
      </w:r>
    </w:p>
    <w:p>
      <w:pPr>
        <w:spacing w:after="120"/>
      </w:pPr>
      <w:r>
        <w:rPr>
          <w:b/>
          <w:bCs/>
        </w:rPr>
        <w:t xml:space="preserve">Natural Abundance and Applications</w:t>
      </w:r>
    </w:p>
    <w:p>
      <w:pPr>
        <w:spacing w:after="180"/>
      </w:pPr>
      <w:r>
        <w:t xml:space="preserve">Sodium is the sixth most abundant element in Earth's crust (2.6% by mass). The oceans contain vast quantities as sodium chloride - approximately 3.5% of seawater by weight. Industrial applications include sodium vapor lamps (characteristic yellow light), sodium hydroxide production for chemical synthesis, sodium carbonate in glass manufacturing, and sodium metal as a reducing agent in chemical processes. Molten sodium serves as coolant in certain nuclear reactor designs due to excellent heat transfer properties.</w:t>
      </w:r>
    </w:p>
    <w:p>
      <w:pPr>
        <w:pStyle w:val="Heading3"/>
      </w:pPr>
      <w:r>
        <w:t xml:space="preserve">3.2.2 Iridium (Ir, Z=77)</w:t>
      </w:r>
    </w:p>
    <w:p>
      <w:pPr>
        <w:spacing w:after="120"/>
      </w:pPr>
      <w:r>
        <w:rPr>
          <w:b/>
          <w:bCs/>
        </w:rPr>
        <w:t xml:space="preserve">Basic Properties</w:t>
      </w:r>
    </w:p>
    <w:p>
      <w:pPr>
        <w:pStyle w:val="ListParagraph"/>
        <w:numPr>
          <w:ilvl w:val="0"/>
          <w:numId w:val="2"/>
        </w:numPr>
      </w:pPr>
      <w:r>
        <w:t xml:space="preserve">Atomic Number: 77 | Symbol: Ir | Atomic Mass: 192.217</w:t>
      </w:r>
    </w:p>
    <w:p>
      <w:pPr>
        <w:pStyle w:val="ListParagraph"/>
        <w:numPr>
          <w:ilvl w:val="0"/>
          <w:numId w:val="2"/>
        </w:numPr>
      </w:pPr>
      <w:r>
        <w:t xml:space="preserve">Group: 9 | Period: 6 | Block: d-block</w:t>
      </w:r>
    </w:p>
    <w:p>
      <w:pPr>
        <w:pStyle w:val="ListParagraph"/>
        <w:numPr>
          <w:ilvl w:val="0"/>
          <w:numId w:val="2"/>
        </w:numPr>
      </w:pPr>
      <w:r>
        <w:t xml:space="preserve">Classification: Transition metal, platinum group metal</w:t>
      </w:r>
    </w:p>
    <w:p>
      <w:pPr>
        <w:pStyle w:val="ListParagraph"/>
        <w:numPr>
          <w:ilvl w:val="0"/>
          <w:numId w:val="2"/>
        </w:numPr>
      </w:pPr>
      <w:r>
        <w:t xml:space="preserve">Melting Point: 2446°C | Boiling Point: 4428°C | Density: 22.56 g/cm³</w:t>
      </w:r>
    </w:p>
    <w:p>
      <w:pPr>
        <w:spacing w:before="120" w:after="120"/>
      </w:pPr>
      <w:r>
        <w:rPr>
          <w:b/>
          <w:bCs/>
        </w:rPr>
        <w:t xml:space="preserve">Discovery and Etymology</w:t>
      </w:r>
    </w:p>
    <w:p>
      <w:pPr>
        <w:spacing w:after="180"/>
      </w:pPr>
      <w:r>
        <w:t xml:space="preserve">English chemist Smithson Tennant discovered iridium in 1803 while studying the residue left when platinum ore is dissolved in aqua regia. The element was named after Iris, the Greek goddess of the rainbow, due to the striking colors of its compounds. Tennant discovered iridium alongside osmium, both found in the insoluble black powder remaining from platinum processing.</w:t>
      </w:r>
    </w:p>
    <w:p>
      <w:pPr>
        <w:spacing w:after="120"/>
      </w:pPr>
      <w:r>
        <w:rPr>
          <w:b/>
          <w:bCs/>
        </w:rPr>
        <w:t xml:space="preserve">Extreme Physical Properties</w:t>
      </w:r>
    </w:p>
    <w:p>
      <w:pPr>
        <w:spacing w:after="180"/>
      </w:pPr>
      <w:r>
        <w:t xml:space="preserve">Iridium holds the distinction of being the second densest element (22.56 g/cm³), surpassed only by osmium. It is also one of the most corrosion-resistant metals known, unaffected by air, water, and acids at room temperature. Even at high temperatures, iridium resists attack by acids and aqua regia. The metal is extremely hard and brittle, making it difficult to work. These exceptional properties make iridium valuable for applications requiring maximum durability and chemical resistance in extreme environments.</w:t>
      </w:r>
    </w:p>
    <w:p>
      <w:pPr>
        <w:spacing w:after="120"/>
      </w:pPr>
      <w:r>
        <w:rPr>
          <w:b/>
          <w:bCs/>
        </w:rPr>
        <w:t xml:space="preserve">The K-T Boundary and Dinosaur Extinction</w:t>
      </w:r>
    </w:p>
    <w:p>
      <w:pPr>
        <w:spacing w:after="180"/>
      </w:pPr>
      <w:r>
        <w:t xml:space="preserve">Iridium gained scientific prominence through its role in the asteroid impact theory of dinosaur extinction. In 1980, Luis and Walter Alvarez discovered a worldwide layer of clay at the Cretaceous-Tertiary boundary (66 million years ago) enriched in iridium to levels hundreds of times above normal crustal abundance. Since iridium is extremely rare in Earth's crust but more abundant in asteroids, this anomaly provided key evidence for the impact hypothesis. The iridium spike, combined with other evidence, supports the theory that a massive asteroid collision triggered the mass extinction event that ended the Age of Dinosaurs.</w:t>
      </w:r>
    </w:p>
    <w:p>
      <w:pPr>
        <w:spacing w:after="120"/>
      </w:pPr>
      <w:r>
        <w:rPr>
          <w:b/>
          <w:bCs/>
        </w:rPr>
        <w:t xml:space="preserve">Applications</w:t>
      </w:r>
    </w:p>
    <w:p>
      <w:pPr>
        <w:pStyle w:val="ListParagraph"/>
        <w:numPr>
          <w:ilvl w:val="0"/>
          <w:numId w:val="2"/>
        </w:numPr>
      </w:pPr>
      <w:r>
        <w:t xml:space="preserve">Spark plugs: Iridium electrodes for automotive and aviation engines</w:t>
      </w:r>
    </w:p>
    <w:p>
      <w:pPr>
        <w:pStyle w:val="ListParagraph"/>
        <w:numPr>
          <w:ilvl w:val="0"/>
          <w:numId w:val="2"/>
        </w:numPr>
      </w:pPr>
      <w:r>
        <w:t xml:space="preserve">Crucibles: High-temperature containers for crystal growth</w:t>
      </w:r>
    </w:p>
    <w:p>
      <w:pPr>
        <w:pStyle w:val="ListParagraph"/>
        <w:numPr>
          <w:ilvl w:val="0"/>
          <w:numId w:val="2"/>
        </w:numPr>
      </w:pPr>
      <w:r>
        <w:t xml:space="preserve">Electrical contacts: Wear-resistant contacts for critical applications</w:t>
      </w:r>
    </w:p>
    <w:p>
      <w:pPr>
        <w:pStyle w:val="ListParagraph"/>
        <w:numPr>
          <w:ilvl w:val="0"/>
          <w:numId w:val="2"/>
        </w:numPr>
      </w:pPr>
      <w:r>
        <w:t xml:space="preserve">Standard weights and measures: The International Prototype Kilogram (until 2019) was platinum-iridium alloy</w:t>
      </w:r>
    </w:p>
    <w:p>
      <w:pPr>
        <w:spacing w:before="120" w:after="180"/>
      </w:pPr>
      <w:r>
        <w:rPr>
          <w:b/>
          <w:bCs/>
        </w:rPr>
        <w:t xml:space="preserve">Rarity:</w:t>
      </w:r>
      <w:r>
        <w:t xml:space="preserve"> Iridium is one of the rarest elements in Earth's crust, at approximately 0.001 parts per million. Global production is only about 3 metric tons annually, primarily from South Africa and Russia.</w:t>
      </w:r>
    </w:p>
    <w:p>
      <w:pPr>
        <w:pStyle w:val="Heading3"/>
      </w:pPr>
      <w:r>
        <w:t xml:space="preserve">3.2.3 Einsteinium (Es, Z=99)</w:t>
      </w:r>
    </w:p>
    <w:p>
      <w:pPr>
        <w:spacing w:after="120"/>
      </w:pPr>
      <w:r>
        <w:rPr>
          <w:b/>
          <w:bCs/>
        </w:rPr>
        <w:t xml:space="preserve">Basic Properties</w:t>
      </w:r>
    </w:p>
    <w:p>
      <w:pPr>
        <w:pStyle w:val="ListParagraph"/>
        <w:numPr>
          <w:ilvl w:val="0"/>
          <w:numId w:val="2"/>
        </w:numPr>
      </w:pPr>
      <w:r>
        <w:t xml:space="preserve">Atomic Number: 99 | Symbol: Es | Atomic Mass: [252] (most stable isotope)</w:t>
      </w:r>
    </w:p>
    <w:p>
      <w:pPr>
        <w:pStyle w:val="ListParagraph"/>
        <w:numPr>
          <w:ilvl w:val="0"/>
          <w:numId w:val="2"/>
        </w:numPr>
      </w:pPr>
      <w:r>
        <w:t xml:space="preserve">Group: Actinides | Period: 7 | Block: f-block</w:t>
      </w:r>
    </w:p>
    <w:p>
      <w:pPr>
        <w:pStyle w:val="ListParagraph"/>
        <w:numPr>
          <w:ilvl w:val="0"/>
          <w:numId w:val="2"/>
        </w:numPr>
      </w:pPr>
      <w:r>
        <w:t xml:space="preserve">Classification: Actinide, transuranium element</w:t>
      </w:r>
    </w:p>
    <w:p>
      <w:pPr>
        <w:pStyle w:val="ListParagraph"/>
        <w:numPr>
          <w:ilvl w:val="0"/>
          <w:numId w:val="2"/>
        </w:numPr>
      </w:pPr>
      <w:r>
        <w:t xml:space="preserve">Predicted phase: Solid | Estimated melting point: 860°C</w:t>
      </w:r>
    </w:p>
    <w:p>
      <w:pPr>
        <w:spacing w:before="120" w:after="120"/>
      </w:pPr>
      <w:r>
        <w:rPr>
          <w:b/>
          <w:bCs/>
        </w:rPr>
        <w:t xml:space="preserve">Discovery in Nuclear Weapons Debris</w:t>
      </w:r>
    </w:p>
    <w:p>
      <w:pPr>
        <w:spacing w:after="180"/>
      </w:pPr>
      <w:r>
        <w:t xml:space="preserve">Einsteinium was first identified in December 1952 in the debris from the Ivy Mike thermonuclear test, the first successful hydrogen bomb explosion conducted at Enewetak Atoll in the Pacific Ocean. Scientists at Los Alamos National Laboratory, Lawrence Berkeley National Laboratory, and Argonne National Laboratory discovered the new element while analyzing filter papers that had collected radioactive fallout. The intense neutron flux in the explosion enabled rapid neutron capture, creating heavy transuranium elements. The element was named in honor of Albert Einstein. Discovery was initially classified due to Cold War secrecy and only announced publicly in 1955.</w:t>
      </w:r>
    </w:p>
    <w:p>
      <w:pPr>
        <w:spacing w:after="120"/>
      </w:pPr>
      <w:r>
        <w:rPr>
          <w:b/>
          <w:bCs/>
        </w:rPr>
        <w:t xml:space="preserve">Nuclear Characteristics</w:t>
      </w:r>
    </w:p>
    <w:p>
      <w:pPr>
        <w:pStyle w:val="ListParagraph"/>
        <w:numPr>
          <w:ilvl w:val="0"/>
          <w:numId w:val="2"/>
        </w:numPr>
      </w:pPr>
      <w:r>
        <w:t xml:space="preserve">Most stable isotope: Einsteinium-252, half-life 471.7 days</w:t>
      </w:r>
    </w:p>
    <w:p>
      <w:pPr>
        <w:pStyle w:val="ListParagraph"/>
        <w:numPr>
          <w:ilvl w:val="0"/>
          <w:numId w:val="2"/>
        </w:numPr>
      </w:pPr>
      <w:r>
        <w:t xml:space="preserve">Production: High-flux nuclear reactors through prolonged neutron irradiation of plutonium</w:t>
      </w:r>
    </w:p>
    <w:p>
      <w:pPr>
        <w:pStyle w:val="ListParagraph"/>
        <w:numPr>
          <w:ilvl w:val="0"/>
          <w:numId w:val="2"/>
        </w:numPr>
      </w:pPr>
      <w:r>
        <w:t xml:space="preserve">Total synthesis: Only milligrams have ever been produced</w:t>
      </w:r>
    </w:p>
    <w:p>
      <w:pPr>
        <w:pStyle w:val="ListParagraph"/>
        <w:numPr>
          <w:ilvl w:val="0"/>
          <w:numId w:val="2"/>
        </w:numPr>
      </w:pPr>
      <w:r>
        <w:t xml:space="preserve">Intense radioactivity: Glows with its own radiation</w:t>
      </w:r>
    </w:p>
    <w:p>
      <w:pPr>
        <w:spacing w:before="120" w:after="180"/>
      </w:pPr>
      <w:r>
        <w:rPr>
          <w:b/>
          <w:bCs/>
        </w:rPr>
        <w:t xml:space="preserve">Research Challenges:</w:t>
      </w:r>
      <w:r>
        <w:t xml:space="preserve"> The extreme rarity and intense radioactivity of einsteinium make it exceptionally difficult to study. Samples are measured in micrograms, and the element's radiation quickly damages surrounding materials and detection equipment. Recent advances have enabled limited spectroscopic studies, providing insights into actinide chemistry and helping validate theoretical models of superheavy elements. Einsteinium has no practical applications outside fundamental nuclear physics research.</w:t>
      </w:r>
    </w:p>
    <w:p>
      <w:pPr>
        <w:pStyle w:val="Heading3"/>
      </w:pPr>
      <w:r>
        <w:t xml:space="preserve">3.2.4 Arsenic (As, Z=33)</w:t>
      </w:r>
    </w:p>
    <w:p>
      <w:pPr>
        <w:spacing w:after="120"/>
      </w:pPr>
      <w:r>
        <w:rPr>
          <w:b/>
          <w:bCs/>
        </w:rPr>
        <w:t xml:space="preserve">Basic Properties</w:t>
      </w:r>
    </w:p>
    <w:p>
      <w:pPr>
        <w:pStyle w:val="ListParagraph"/>
        <w:numPr>
          <w:ilvl w:val="0"/>
          <w:numId w:val="2"/>
        </w:numPr>
      </w:pPr>
      <w:r>
        <w:t xml:space="preserve">Atomic Number: 33 | Symbol: As | Atomic Mass: 74.922</w:t>
      </w:r>
    </w:p>
    <w:p>
      <w:pPr>
        <w:pStyle w:val="ListParagraph"/>
        <w:numPr>
          <w:ilvl w:val="0"/>
          <w:numId w:val="2"/>
        </w:numPr>
      </w:pPr>
      <w:r>
        <w:t xml:space="preserve">Group: 15 | Period: 4 | Block: p-block</w:t>
      </w:r>
    </w:p>
    <w:p>
      <w:pPr>
        <w:pStyle w:val="ListParagraph"/>
        <w:numPr>
          <w:ilvl w:val="0"/>
          <w:numId w:val="2"/>
        </w:numPr>
      </w:pPr>
      <w:r>
        <w:t xml:space="preserve">Classification: Metalloid</w:t>
      </w:r>
    </w:p>
    <w:p>
      <w:pPr>
        <w:pStyle w:val="ListParagraph"/>
        <w:numPr>
          <w:ilvl w:val="0"/>
          <w:numId w:val="2"/>
        </w:numPr>
      </w:pPr>
      <w:r>
        <w:t xml:space="preserve">Sublimation Point: 615°C (no liquid phase at normal pressure) | Density: 5.73 g/cm³</w:t>
      </w:r>
    </w:p>
    <w:p>
      <w:pPr>
        <w:spacing w:before="120" w:after="120"/>
      </w:pPr>
      <w:r>
        <w:rPr>
          <w:b/>
          <w:bCs/>
        </w:rPr>
        <w:t xml:space="preserve">Historical Use and Notoriety</w:t>
      </w:r>
    </w:p>
    <w:p>
      <w:pPr>
        <w:spacing w:after="180"/>
      </w:pPr>
      <w:r>
        <w:t xml:space="preserve">Arsenic compounds have been known since antiquity, with documented use dating to ancient Egypt and China. The element was first isolated by Albertus Magnus in 1250 CE. Its name derives from the Persian 'zarnikh' (yellow orpiment) through Greek and Latin. Arsenic gained notoriety as a poison throughout history - colorless, tasteless, and difficult to detect, arsenic trioxide was called 'inheritance powder' in Renaissance Europe due to frequent use in murders. The element featured prominently in criminal poisoning cases until modern forensic techniques enabled reliable detection.</w:t>
      </w:r>
    </w:p>
    <w:p>
      <w:pPr>
        <w:spacing w:after="120"/>
      </w:pPr>
      <w:r>
        <w:rPr>
          <w:b/>
          <w:bCs/>
        </w:rPr>
        <w:t xml:space="preserve">Toxicology and Health Effects</w:t>
      </w:r>
    </w:p>
    <w:p>
      <w:pPr>
        <w:spacing w:after="180"/>
      </w:pPr>
      <w:r>
        <w:t xml:space="preserve">Arsenic is highly toxic to humans and most organisms. It interferes with cellular metabolism by disrupting ATP production and replacing phosphate in biochemical reactions. Acute poisoning causes severe gastrointestinal symptoms, cardiovascular collapse, and death. Chronic exposure leads to skin lesions, peripheral neuropathy, cardiovascular disease, and increased cancer risk (skin, lung, bladder). Arsenic contamination of groundwater affects millions globally, particularly in Bangladesh, India, and parts of China, where natural geological processes release arsenic into aquifers used for drinking water.</w:t>
      </w:r>
    </w:p>
    <w:p>
      <w:pPr>
        <w:spacing w:after="120"/>
      </w:pPr>
      <w:r>
        <w:rPr>
          <w:b/>
          <w:bCs/>
        </w:rPr>
        <w:t xml:space="preserve">Industrial and Agricultural Uses</w:t>
      </w:r>
    </w:p>
    <w:p>
      <w:pPr>
        <w:spacing w:after="180"/>
      </w:pPr>
      <w:r>
        <w:t xml:space="preserve">Despite its toxicity, arsenic has legitimate applications. Historically, arsenic compounds served as pesticides (now largely banned), wood preservatives (copper chromated arsenate), and pigments (Paris Green). Modern semiconductor manufacturing uses ultra-pure arsenic to create gallium arsenide (GaAs) for high-speed electronics and optoelectronics. Arsenic also appears in lead-acid batteries and copper alloys for improved mechanical properties. Medical applications include arsenic trioxide for treating acute promyelocytic leukemia, where it induces cancer cell differentiation and apoptosis.</w:t>
      </w:r>
    </w:p>
    <w:p>
      <w:pPr>
        <w:spacing w:before="120" w:after="180"/>
      </w:pPr>
      <w:r>
        <w:rPr>
          <w:b/>
          <w:bCs/>
        </w:rPr>
        <w:t xml:space="preserve">Environmental Concerns:</w:t>
      </w:r>
      <w:r>
        <w:t xml:space="preserve"> Arsenic contamination represents a major environmental and public health challenge. Industrial activities, mining, and natural weathering release arsenic into soil and water. Rice plants readily absorb arsenic from paddy water, creating food safety concerns. Regulatory agencies have established drinking water limits (typically 10 parts per billion), but enforcement remains challenging in affected regions.</w:t>
      </w:r>
    </w:p>
    <w:p>
      <w:r>
        <w:br w:type="page"/>
      </w:r>
    </w:p>
    <w:p>
      <w:pPr>
        <w:pStyle w:val="Heading2"/>
      </w:pPr>
      <w:r>
        <w:t xml:space="preserve">3.3 BLUE Sequence Elements</w:t>
      </w:r>
    </w:p>
    <w:p>
      <w:pPr>
        <w:pStyle w:val="Heading3"/>
      </w:pPr>
      <w:r>
        <w:t xml:space="preserve">3.3.1 Magnesium (Mg, Z=12)</w:t>
      </w:r>
    </w:p>
    <w:p>
      <w:pPr>
        <w:spacing w:after="120"/>
      </w:pPr>
      <w:r>
        <w:rPr>
          <w:b/>
          <w:bCs/>
        </w:rPr>
        <w:t xml:space="preserve">Basic Properties</w:t>
      </w:r>
    </w:p>
    <w:p>
      <w:pPr>
        <w:pStyle w:val="ListParagraph"/>
        <w:numPr>
          <w:ilvl w:val="0"/>
          <w:numId w:val="2"/>
        </w:numPr>
      </w:pPr>
      <w:r>
        <w:t xml:space="preserve">Atomic Number: 12 | Symbol: Mg | Atomic Mass: 24.305</w:t>
      </w:r>
    </w:p>
    <w:p>
      <w:pPr>
        <w:pStyle w:val="ListParagraph"/>
        <w:numPr>
          <w:ilvl w:val="0"/>
          <w:numId w:val="2"/>
        </w:numPr>
      </w:pPr>
      <w:r>
        <w:t xml:space="preserve">Group: 2 (Alkaline earth metals) | Period: 3 | Block: s-block</w:t>
      </w:r>
    </w:p>
    <w:p>
      <w:pPr>
        <w:pStyle w:val="ListParagraph"/>
        <w:numPr>
          <w:ilvl w:val="0"/>
          <w:numId w:val="2"/>
        </w:numPr>
      </w:pPr>
      <w:r>
        <w:t xml:space="preserve">Classification: Alkaline earth metal</w:t>
      </w:r>
    </w:p>
    <w:p>
      <w:pPr>
        <w:pStyle w:val="ListParagraph"/>
        <w:numPr>
          <w:ilvl w:val="0"/>
          <w:numId w:val="2"/>
        </w:numPr>
      </w:pPr>
      <w:r>
        <w:t xml:space="preserve">Melting Point: 650°C | Boiling Point: 1090°C | Density: 1.74 g/cm³</w:t>
      </w:r>
    </w:p>
    <w:p>
      <w:pPr>
        <w:spacing w:before="120" w:after="120"/>
      </w:pPr>
      <w:r>
        <w:rPr>
          <w:b/>
          <w:bCs/>
        </w:rPr>
        <w:t xml:space="preserve">Discovery and Etymology</w:t>
      </w:r>
    </w:p>
    <w:p>
      <w:pPr>
        <w:spacing w:after="180"/>
      </w:pPr>
      <w:r>
        <w:t xml:space="preserve">Scottish chemist Joseph Black first recognized magnesium as an element in 1755, distinguishing magnesia (magnesium oxide) from lime (calcium oxide). Sir Humphry Davy first isolated the pure metal in 1808 through electrolysis of magnesium oxide mixed with mercuric oxide. The name derives from Magnesia, a district in Thessaly, Greece, where magnesium-rich minerals were found. The region's name also gave rise to the word 'magnet' due to magnetite deposits there.</w:t>
      </w:r>
    </w:p>
    <w:p>
      <w:pPr>
        <w:spacing w:after="120"/>
      </w:pPr>
      <w:r>
        <w:rPr>
          <w:b/>
          <w:bCs/>
        </w:rPr>
        <w:t xml:space="preserve">Biological Essentiality</w:t>
      </w:r>
    </w:p>
    <w:p>
      <w:pPr>
        <w:spacing w:after="180"/>
      </w:pPr>
      <w:r>
        <w:t xml:space="preserve">Magnesium is absolutely essential for all known life. It serves as the central atom in chlorophyll molecules, making photosynthesis possible and thus sustaining nearly all life on Earth. In human biochemistry, magnesium is the fourth most abundant cation and participates in over 300 enzymatic reactions. It is critical for DNA and RNA synthesis, protein synthesis, ATP production, muscle contraction, nerve function, blood pressure regulation, and glucose control. The human body contains approximately 25 grams of magnesium, primarily in bones. Daily requirements are 310-420 mg for adults. Deficiency causes muscle cramps, cardiac arrhythmias, and neurological symptoms.</w:t>
      </w:r>
    </w:p>
    <w:p>
      <w:pPr>
        <w:spacing w:after="120"/>
      </w:pPr>
      <w:r>
        <w:rPr>
          <w:b/>
          <w:bCs/>
        </w:rPr>
        <w:t xml:space="preserve">Physical and Chemical Properties</w:t>
      </w:r>
    </w:p>
    <w:p>
      <w:pPr>
        <w:spacing w:after="180"/>
      </w:pPr>
      <w:r>
        <w:t xml:space="preserve">Magnesium is a lightweight, silver-white metal with low density (1.74 g/cm³), making it ideal for applications requiring strength without excessive weight. The pure metal is moderately reactive, burning brilliantly in air with intense white light and significant heat release. This property made magnesium essential for early photography flash powders. Magnesium also burns underwater, taking oxygen from water molecules, which explains its use in emergency flares and incendiary devices. The metal forms a thin oxide coating that provides some corrosion resistance.</w:t>
      </w:r>
    </w:p>
    <w:p>
      <w:pPr>
        <w:spacing w:after="120"/>
      </w:pPr>
      <w:r>
        <w:rPr>
          <w:b/>
          <w:bCs/>
        </w:rPr>
        <w:t xml:space="preserve">Industrial Applications</w:t>
      </w:r>
    </w:p>
    <w:p>
      <w:pPr>
        <w:pStyle w:val="ListParagraph"/>
        <w:numPr>
          <w:ilvl w:val="0"/>
          <w:numId w:val="2"/>
        </w:numPr>
      </w:pPr>
      <w:r>
        <w:t xml:space="preserve">Alloys: Aluminum-magnesium alloys for aerospace, automotive, and consumer electronics</w:t>
      </w:r>
    </w:p>
    <w:p>
      <w:pPr>
        <w:pStyle w:val="ListParagraph"/>
        <w:numPr>
          <w:ilvl w:val="0"/>
          <w:numId w:val="2"/>
        </w:numPr>
      </w:pPr>
      <w:r>
        <w:t xml:space="preserve">Structural components: Laptop cases, camera bodies, automotive parts</w:t>
      </w:r>
    </w:p>
    <w:p>
      <w:pPr>
        <w:pStyle w:val="ListParagraph"/>
        <w:numPr>
          <w:ilvl w:val="0"/>
          <w:numId w:val="2"/>
        </w:numPr>
      </w:pPr>
      <w:r>
        <w:t xml:space="preserve">Metallurgy: Reducing agent for producing uranium and other metals</w:t>
      </w:r>
    </w:p>
    <w:p>
      <w:pPr>
        <w:pStyle w:val="ListParagraph"/>
        <w:numPr>
          <w:ilvl w:val="0"/>
          <w:numId w:val="2"/>
        </w:numPr>
      </w:pPr>
      <w:r>
        <w:t xml:space="preserve">Pyrotechnics: Flares, fireworks, and military applications</w:t>
      </w:r>
    </w:p>
    <w:p>
      <w:pPr>
        <w:pStyle w:val="ListParagraph"/>
        <w:numPr>
          <w:ilvl w:val="0"/>
          <w:numId w:val="2"/>
        </w:numPr>
      </w:pPr>
      <w:r>
        <w:t xml:space="preserve">Medicine: Magnesium sulfate (Epsom salt) for various therapeutic uses</w:t>
      </w:r>
    </w:p>
    <w:p>
      <w:pPr>
        <w:spacing w:before="120" w:after="180"/>
      </w:pPr>
      <w:r>
        <w:rPr>
          <w:b/>
          <w:bCs/>
        </w:rPr>
        <w:t xml:space="preserve">Abundance:</w:t>
      </w:r>
      <w:r>
        <w:t xml:space="preserve"> Magnesium is the eighth most abundant element in Earth's crust (2.3% by mass) and third most abundant in seawater (after oxygen and hydrogen). It is extracted primarily from seawater, dolomite, and magnesite. Global production exceeds 1 million metric tons annually.</w:t>
      </w:r>
    </w:p>
    <w:p>
      <w:pPr>
        <w:pStyle w:val="Heading3"/>
      </w:pPr>
      <w:r>
        <w:t xml:space="preserve">3.3.2 Krypton (Kr, Z=36)</w:t>
      </w:r>
    </w:p>
    <w:p>
      <w:pPr>
        <w:spacing w:after="120"/>
      </w:pPr>
      <w:r>
        <w:rPr>
          <w:b/>
          <w:bCs/>
        </w:rPr>
        <w:t xml:space="preserve">Basic Properties</w:t>
      </w:r>
    </w:p>
    <w:p>
      <w:pPr>
        <w:pStyle w:val="ListParagraph"/>
        <w:numPr>
          <w:ilvl w:val="0"/>
          <w:numId w:val="2"/>
        </w:numPr>
      </w:pPr>
      <w:r>
        <w:t xml:space="preserve">Atomic Number: 36 | Symbol: Kr | Atomic Mass: 83.798</w:t>
      </w:r>
    </w:p>
    <w:p>
      <w:pPr>
        <w:pStyle w:val="ListParagraph"/>
        <w:numPr>
          <w:ilvl w:val="0"/>
          <w:numId w:val="2"/>
        </w:numPr>
      </w:pPr>
      <w:r>
        <w:t xml:space="preserve">Group: 18 (Noble gases) | Period: 4 | Block: p-block</w:t>
      </w:r>
    </w:p>
    <w:p>
      <w:pPr>
        <w:pStyle w:val="ListParagraph"/>
        <w:numPr>
          <w:ilvl w:val="0"/>
          <w:numId w:val="2"/>
        </w:numPr>
      </w:pPr>
      <w:r>
        <w:t xml:space="preserve">Classification: Noble gas</w:t>
      </w:r>
    </w:p>
    <w:p>
      <w:pPr>
        <w:pStyle w:val="ListParagraph"/>
        <w:numPr>
          <w:ilvl w:val="0"/>
          <w:numId w:val="2"/>
        </w:numPr>
      </w:pPr>
      <w:r>
        <w:t xml:space="preserve">Melting Point: -157°C | Boiling Point: -153°C | Density: 3.75 g/L (gas)</w:t>
      </w:r>
    </w:p>
    <w:p>
      <w:pPr>
        <w:spacing w:before="120" w:after="120"/>
      </w:pPr>
      <w:r>
        <w:rPr>
          <w:b/>
          <w:bCs/>
        </w:rPr>
        <w:t xml:space="preserve">Discovery</w:t>
      </w:r>
    </w:p>
    <w:p>
      <w:pPr>
        <w:spacing w:after="180"/>
      </w:pPr>
      <w:r>
        <w:t xml:space="preserve">Scottish chemist Sir William Ramsay and English chemist Morris Travers discovered krypton in 1898 through fractional distillation of liquid air. After removing oxygen, nitrogen, and argon, they identified spectral lines from an unknown element in the residue. The name derives from the Greek 'kryptos' meaning 'hidden,' reflecting the element's elusiveness during isolation. Krypton was the third noble gas discovered (after helium and argon), revealing the existence of an entire previously unknown family of elements.</w:t>
      </w:r>
    </w:p>
    <w:p>
      <w:pPr>
        <w:spacing w:after="120"/>
      </w:pPr>
      <w:r>
        <w:rPr>
          <w:b/>
          <w:bCs/>
        </w:rPr>
        <w:t xml:space="preserve">Chemical Inertness and Compounds</w:t>
      </w:r>
    </w:p>
    <w:p>
      <w:pPr>
        <w:spacing w:after="180"/>
      </w:pPr>
      <w:r>
        <w:t xml:space="preserve">As a noble gas, krypton is characterized by extreme chemical inertness due to its complete valence electron shell. For decades, krypton was believed incapable of forming stable compounds. However, in 1963, krypton difluoride (KrF₂) was synthesized, demonstrating that under extreme conditions, even noble gases can form chemical bonds. Krypton compounds remain extremely rare and unstable, with KrF₂ requiring cryogenic storage. The element exists naturally only as individual atoms, never bonding with itself or other elements under normal conditions.</w:t>
      </w:r>
    </w:p>
    <w:p>
      <w:pPr>
        <w:spacing w:after="120"/>
      </w:pPr>
      <w:r>
        <w:rPr>
          <w:b/>
          <w:bCs/>
        </w:rPr>
        <w:t xml:space="preserve">Applications</w:t>
      </w:r>
    </w:p>
    <w:p>
      <w:pPr>
        <w:pStyle w:val="ListParagraph"/>
        <w:numPr>
          <w:ilvl w:val="0"/>
          <w:numId w:val="2"/>
        </w:numPr>
      </w:pPr>
      <w:r>
        <w:t xml:space="preserve">Lighting: High-performance fluorescent lamps and flash lamps for high-speed photography</w:t>
      </w:r>
    </w:p>
    <w:p>
      <w:pPr>
        <w:pStyle w:val="ListParagraph"/>
        <w:numPr>
          <w:ilvl w:val="0"/>
          <w:numId w:val="2"/>
        </w:numPr>
      </w:pPr>
      <w:r>
        <w:t xml:space="preserve">Lasers: Krypton ion lasers producing multiple wavelengths</w:t>
      </w:r>
    </w:p>
    <w:p>
      <w:pPr>
        <w:pStyle w:val="ListParagraph"/>
        <w:numPr>
          <w:ilvl w:val="0"/>
          <w:numId w:val="2"/>
        </w:numPr>
      </w:pPr>
      <w:r>
        <w:t xml:space="preserve">Windows: Thermal insulation in multi-pane windows (higher insulation than argon)</w:t>
      </w:r>
    </w:p>
    <w:p>
      <w:pPr>
        <w:pStyle w:val="ListParagraph"/>
        <w:numPr>
          <w:ilvl w:val="0"/>
          <w:numId w:val="2"/>
        </w:numPr>
      </w:pPr>
      <w:r>
        <w:t xml:space="preserve">Metrology: Krypton-86 isotope formerly defined the meter (1960-1983)</w:t>
      </w:r>
    </w:p>
    <w:p>
      <w:pPr>
        <w:spacing w:before="120" w:after="180"/>
      </w:pPr>
      <w:r>
        <w:rPr>
          <w:b/>
          <w:bCs/>
        </w:rPr>
        <w:t xml:space="preserve">Atmospheric Occurrence:</w:t>
      </w:r>
      <w:r>
        <w:t xml:space="preserve"> Krypton constitutes approximately 1 part per million of Earth's atmosphere, making it relatively rare among noble gases. It is extracted commercially by fractional distillation of liquid air. Despite its rarity and high cost (several thousand dollars per liter), krypton finds use in specialized applications where its unique properties justify the expense.</w:t>
      </w:r>
    </w:p>
    <w:p>
      <w:pPr>
        <w:pStyle w:val="Heading3"/>
      </w:pPr>
      <w:r>
        <w:t xml:space="preserve">3.3.3 Oganesson (Og, Z=118)</w:t>
      </w:r>
    </w:p>
    <w:p>
      <w:pPr>
        <w:spacing w:after="120"/>
      </w:pPr>
      <w:r>
        <w:rPr>
          <w:b/>
          <w:bCs/>
        </w:rPr>
        <w:t xml:space="preserve">Basic Properties</w:t>
      </w:r>
    </w:p>
    <w:p>
      <w:pPr>
        <w:pStyle w:val="ListParagraph"/>
        <w:numPr>
          <w:ilvl w:val="0"/>
          <w:numId w:val="2"/>
        </w:numPr>
      </w:pPr>
      <w:r>
        <w:t xml:space="preserve">Atomic Number: 118 | Symbol: Og | Atomic Mass: [294] (most stable isotope)</w:t>
      </w:r>
    </w:p>
    <w:p>
      <w:pPr>
        <w:pStyle w:val="ListParagraph"/>
        <w:numPr>
          <w:ilvl w:val="0"/>
          <w:numId w:val="2"/>
        </w:numPr>
      </w:pPr>
      <w:r>
        <w:t xml:space="preserve">Group: 18 (Noble gases) | Period: 7 | Block: p-block</w:t>
      </w:r>
    </w:p>
    <w:p>
      <w:pPr>
        <w:pStyle w:val="ListParagraph"/>
        <w:numPr>
          <w:ilvl w:val="0"/>
          <w:numId w:val="2"/>
        </w:numPr>
      </w:pPr>
      <w:r>
        <w:t xml:space="preserve">Classification: Noble gas (predicted), superheavy element</w:t>
      </w:r>
    </w:p>
    <w:p>
      <w:pPr>
        <w:pStyle w:val="ListParagraph"/>
        <w:numPr>
          <w:ilvl w:val="0"/>
          <w:numId w:val="2"/>
        </w:numPr>
      </w:pPr>
      <w:r>
        <w:t xml:space="preserve">Predicted phase: Solid (due to relativistic effects) | Properties largely theoretical</w:t>
      </w:r>
    </w:p>
    <w:p>
      <w:pPr>
        <w:spacing w:before="120" w:after="120"/>
      </w:pPr>
      <w:r>
        <w:rPr>
          <w:b/>
          <w:bCs/>
        </w:rPr>
        <w:t xml:space="preserve">Discovery - The Heaviest Element</w:t>
      </w:r>
    </w:p>
    <w:p>
      <w:pPr>
        <w:spacing w:after="180"/>
      </w:pPr>
      <w:r>
        <w:t xml:space="preserve">Oganesson represents the current frontier of the periodic table - the heaviest element ever synthesized. Russian and American scientists at the Joint Institute for Nuclear Research in Dubna, Russia, collaborating with Lawrence Livermore National Laboratory, first created oganesson in 2002 by bombarding californium-249 targets with calcium-48 ions. Only five atoms were initially detected. IUPAC officially recognized the discovery in 2015 and named the element in 2016 after Russian nuclear physicist Yuri Oganessian, marking the second time an element was named after a living person (after seaborgium).</w:t>
      </w:r>
    </w:p>
    <w:p>
      <w:pPr>
        <w:spacing w:after="120"/>
      </w:pPr>
      <w:r>
        <w:rPr>
          <w:b/>
          <w:bCs/>
        </w:rPr>
        <w:t xml:space="preserve">Extreme Nuclear Instability</w:t>
      </w:r>
    </w:p>
    <w:p>
      <w:pPr>
        <w:spacing w:after="180"/>
      </w:pPr>
      <w:r>
        <w:t xml:space="preserve">Oganesson-294, the most stable known isotope, has a half-life of approximately 0.7 milliseconds before undergoing alpha decay. This extreme instability means that only a handful of atoms have ever existed, each for less than one thousandth of a second. The element's production requires extraordinary resources: particle accelerators running for months, detection systems capable of identifying individual atomic nuclei, and international collaboration. Each atom costs millions of dollars to produce when factoring in infrastructure and operating costs.</w:t>
      </w:r>
    </w:p>
    <w:p>
      <w:pPr>
        <w:spacing w:after="120"/>
      </w:pPr>
      <w:r>
        <w:rPr>
          <w:b/>
          <w:bCs/>
        </w:rPr>
        <w:t xml:space="preserve">Predicted Properties - Breaking Noble Gas Behavior</w:t>
      </w:r>
    </w:p>
    <w:p>
      <w:pPr>
        <w:spacing w:after="180"/>
      </w:pPr>
      <w:r>
        <w:t xml:space="preserve">Despite being classified as a noble gas based on electron configuration, oganesson is predicted to exhibit unusual properties. Relativistic effects - arising from electrons moving at significant fractions of light speed near such a heavy nucleus - are expected to dramatically alter its chemistry. Theoretical calculations suggest oganesson might be a semiconductor or metalloid rather than an inert gas. It may even exist as a solid at room temperature, unlike lighter noble gases. These predictions cannot be tested experimentally due to the impossibly short lifetime and microscopic quantities involved.</w:t>
      </w:r>
    </w:p>
    <w:p>
      <w:pPr>
        <w:spacing w:after="120"/>
      </w:pPr>
      <w:r>
        <w:rPr>
          <w:b/>
          <w:bCs/>
        </w:rPr>
        <w:t xml:space="preserve">Significance for Nuclear Physics</w:t>
      </w:r>
    </w:p>
    <w:p>
      <w:pPr>
        <w:spacing w:after="180"/>
      </w:pPr>
      <w:r>
        <w:t xml:space="preserve">Oganesson's existence helps validate theoretical models of nuclear structure and the predicted 'island of stability' - a region where superheavy elements might have significantly longer half-lives due to closed nuclear shells. While oganesson itself is not on this island, its synthesis demonstrates that elements can be created far beyond uranium (Z=92), the heaviest naturally occurring element. Each new superheavy element provides data points for refining nuclear theory and potentially guiding searches for longer-lived superheavy isotopes.</w:t>
      </w:r>
    </w:p>
    <w:p>
      <w:pPr>
        <w:spacing w:before="120" w:after="180"/>
      </w:pPr>
      <w:r>
        <w:rPr>
          <w:b/>
          <w:bCs/>
        </w:rPr>
        <w:t xml:space="preserve">Future Prospects:</w:t>
      </w:r>
      <w:r>
        <w:t xml:space="preserve"> Research continues toward synthesizing element 119 and beyond, though technical challenges increase exponentially with atomic number. Oganesson currently marks the temporary endpoint of the periodic table, representing humanity's maximum achievement in artificial element synthesis.</w:t>
      </w:r>
    </w:p>
    <w:p>
      <w:pPr>
        <w:pStyle w:val="Heading3"/>
      </w:pPr>
      <w:r>
        <w:t xml:space="preserve">3.3.4 Californium (Cf, Z=98)</w:t>
      </w:r>
    </w:p>
    <w:p>
      <w:pPr>
        <w:spacing w:after="120"/>
      </w:pPr>
      <w:r>
        <w:rPr>
          <w:b/>
          <w:bCs/>
        </w:rPr>
        <w:t xml:space="preserve">Basic Properties</w:t>
      </w:r>
    </w:p>
    <w:p>
      <w:pPr>
        <w:pStyle w:val="ListParagraph"/>
        <w:numPr>
          <w:ilvl w:val="0"/>
          <w:numId w:val="2"/>
        </w:numPr>
      </w:pPr>
      <w:r>
        <w:t xml:space="preserve">Atomic Number: 98 | Symbol: Cf | Atomic Mass: [251] (most stable isotope)</w:t>
      </w:r>
    </w:p>
    <w:p>
      <w:pPr>
        <w:pStyle w:val="ListParagraph"/>
        <w:numPr>
          <w:ilvl w:val="0"/>
          <w:numId w:val="2"/>
        </w:numPr>
      </w:pPr>
      <w:r>
        <w:t xml:space="preserve">Group: Actinides | Period: 7 | Block: f-block</w:t>
      </w:r>
    </w:p>
    <w:p>
      <w:pPr>
        <w:pStyle w:val="ListParagraph"/>
        <w:numPr>
          <w:ilvl w:val="0"/>
          <w:numId w:val="2"/>
        </w:numPr>
      </w:pPr>
      <w:r>
        <w:t xml:space="preserve">Classification: Actinide, transuranium element</w:t>
      </w:r>
    </w:p>
    <w:p>
      <w:pPr>
        <w:pStyle w:val="ListParagraph"/>
        <w:numPr>
          <w:ilvl w:val="0"/>
          <w:numId w:val="2"/>
        </w:numPr>
      </w:pPr>
      <w:r>
        <w:t xml:space="preserve">Melting Point: 900°C (estimated) | Density: 15.1 g/cm³ (estimated)</w:t>
      </w:r>
    </w:p>
    <w:p>
      <w:pPr>
        <w:spacing w:before="120" w:after="120"/>
      </w:pPr>
      <w:r>
        <w:rPr>
          <w:b/>
          <w:bCs/>
        </w:rPr>
        <w:t xml:space="preserve">Discovery at Berkeley</w:t>
      </w:r>
    </w:p>
    <w:p>
      <w:pPr>
        <w:spacing w:after="180"/>
      </w:pPr>
      <w:r>
        <w:t xml:space="preserve">Scientists at the University of California, Berkeley - Stanley Thompson, Kenneth Street Jr., Albert Ghiorso, and Glenn Seaborg - first synthesized californium in 1950 by bombarding curium-242 with alpha particles in the 60-inch cyclotron. The element was named after California and the University of California, continuing the tradition of naming transuranium elements after places associated with their discovery. The synthesis represented the sixth transuranium element discovered at Berkeley, solidifying the institution's preeminence in heavy element chemistry.</w:t>
      </w:r>
    </w:p>
    <w:p>
      <w:pPr>
        <w:spacing w:after="120"/>
      </w:pPr>
      <w:r>
        <w:rPr>
          <w:b/>
          <w:bCs/>
        </w:rPr>
        <w:t xml:space="preserve">Extraordinary Neutron Emission</w:t>
      </w:r>
    </w:p>
    <w:p>
      <w:pPr>
        <w:spacing w:after="180"/>
      </w:pPr>
      <w:r>
        <w:t xml:space="preserve">Californium-252, the most important isotope, possesses a unique and valuable property: it spontaneously fissions, releasing enormous quantities of neutrons. One microgram of californium-252 emits 170 million neutrons per minute - more than most small nuclear reactors. This intense neutron emission makes californium-252 exceptionally useful as a portable neutron source, despite its extreme radioactivity and astronomical cost.</w:t>
      </w:r>
    </w:p>
    <w:p>
      <w:pPr>
        <w:spacing w:after="120"/>
      </w:pPr>
      <w:r>
        <w:rPr>
          <w:b/>
          <w:bCs/>
        </w:rPr>
        <w:t xml:space="preserve">The World's Most Expensive Material</w:t>
      </w:r>
    </w:p>
    <w:p>
      <w:pPr>
        <w:spacing w:after="180"/>
      </w:pPr>
      <w:r>
        <w:t xml:space="preserve">Californium-252 costs approximately $27 million per gram, making it arguably the most expensive material on Earth. Global production is only about 500 micrograms per year, synthesized exclusively at Oak Ridge National Laboratory's High Flux Isotope Reactor. The element requires years of neutron bombardment of plutonium-239, followed by complex chemical separation. The extreme cost reflects both the limited production capacity and the sophisticated infrastructure required for synthesis.</w:t>
      </w:r>
    </w:p>
    <w:p>
      <w:pPr>
        <w:spacing w:after="120"/>
      </w:pPr>
      <w:r>
        <w:rPr>
          <w:b/>
          <w:bCs/>
        </w:rPr>
        <w:t xml:space="preserve">Critical Applications</w:t>
      </w:r>
    </w:p>
    <w:p>
      <w:pPr>
        <w:pStyle w:val="ListParagraph"/>
        <w:numPr>
          <w:ilvl w:val="0"/>
          <w:numId w:val="2"/>
        </w:numPr>
      </w:pPr>
      <w:r>
        <w:t xml:space="preserve">Cancer treatment: Neutron brachytherapy for certain tumor types</w:t>
      </w:r>
    </w:p>
    <w:p>
      <w:pPr>
        <w:pStyle w:val="ListParagraph"/>
        <w:numPr>
          <w:ilvl w:val="0"/>
          <w:numId w:val="2"/>
        </w:numPr>
      </w:pPr>
      <w:r>
        <w:t xml:space="preserve">Materials analysis: Neutron activation analysis for detecting trace elements</w:t>
      </w:r>
    </w:p>
    <w:p>
      <w:pPr>
        <w:pStyle w:val="ListParagraph"/>
        <w:numPr>
          <w:ilvl w:val="0"/>
          <w:numId w:val="2"/>
        </w:numPr>
      </w:pPr>
      <w:r>
        <w:t xml:space="preserve">Oil exploration: Neutron moisture gauges for locating oil and water layers</w:t>
      </w:r>
    </w:p>
    <w:p>
      <w:pPr>
        <w:pStyle w:val="ListParagraph"/>
        <w:numPr>
          <w:ilvl w:val="0"/>
          <w:numId w:val="2"/>
        </w:numPr>
      </w:pPr>
      <w:r>
        <w:t xml:space="preserve">Airport security: Neutron scanners for detecting explosives and contraband</w:t>
      </w:r>
    </w:p>
    <w:p>
      <w:pPr>
        <w:pStyle w:val="ListParagraph"/>
        <w:numPr>
          <w:ilvl w:val="0"/>
          <w:numId w:val="2"/>
        </w:numPr>
      </w:pPr>
      <w:r>
        <w:t xml:space="preserve">Nuclear reactor startup: Neutron sources for reactor initiation</w:t>
      </w:r>
    </w:p>
    <w:p>
      <w:pPr>
        <w:spacing w:before="120" w:after="180"/>
      </w:pPr>
      <w:r>
        <w:rPr>
          <w:b/>
          <w:bCs/>
        </w:rPr>
        <w:t xml:space="preserve">Safety Concerns:</w:t>
      </w:r>
      <w:r>
        <w:t xml:space="preserve"> Californium's intense radioactivity poses severe health risks. Exposure causes radiation sickness, and ingestion or inhalation can cause cancer. Handling requires remote manipulation, heavy shielding, and specialized facilities. Despite these hazards, the element's unique neutron emission properties make it indispensable for specific applications where no alternative exists.</w:t>
      </w:r>
    </w:p>
    <w:p>
      <w:pPr>
        <w:pStyle w:val="Heading3"/>
      </w:pPr>
      <w:r>
        <w:t xml:space="preserve">3.3.5 Tungsten (W, Z=74)</w:t>
      </w:r>
    </w:p>
    <w:p>
      <w:pPr>
        <w:spacing w:after="120"/>
      </w:pPr>
      <w:r>
        <w:rPr>
          <w:b/>
          <w:bCs/>
        </w:rPr>
        <w:t xml:space="preserve">Basic Properties</w:t>
      </w:r>
    </w:p>
    <w:p>
      <w:pPr>
        <w:pStyle w:val="ListParagraph"/>
        <w:numPr>
          <w:ilvl w:val="0"/>
          <w:numId w:val="2"/>
        </w:numPr>
      </w:pPr>
      <w:r>
        <w:t xml:space="preserve">Atomic Number: 74 | Symbol: W | Atomic Mass: 183.84</w:t>
      </w:r>
    </w:p>
    <w:p>
      <w:pPr>
        <w:pStyle w:val="ListParagraph"/>
        <w:numPr>
          <w:ilvl w:val="0"/>
          <w:numId w:val="2"/>
        </w:numPr>
      </w:pPr>
      <w:r>
        <w:t xml:space="preserve">Group: 6 | Period: 6 | Block: d-block</w:t>
      </w:r>
    </w:p>
    <w:p>
      <w:pPr>
        <w:pStyle w:val="ListParagraph"/>
        <w:numPr>
          <w:ilvl w:val="0"/>
          <w:numId w:val="2"/>
        </w:numPr>
      </w:pPr>
      <w:r>
        <w:t xml:space="preserve">Classification: Transition metal, refractory metal</w:t>
      </w:r>
    </w:p>
    <w:p>
      <w:pPr>
        <w:pStyle w:val="ListParagraph"/>
        <w:numPr>
          <w:ilvl w:val="0"/>
          <w:numId w:val="2"/>
        </w:numPr>
      </w:pPr>
      <w:r>
        <w:t xml:space="preserve">Melting Point: 3422°C (HIGHEST of all elements) | Boiling Point: 5555°C | Density: 19.25 g/cm³</w:t>
      </w:r>
    </w:p>
    <w:p>
      <w:pPr>
        <w:spacing w:before="120" w:after="120"/>
      </w:pPr>
      <w:r>
        <w:rPr>
          <w:b/>
          <w:bCs/>
        </w:rPr>
        <w:t xml:space="preserve">Discovery and Etymology</w:t>
      </w:r>
    </w:p>
    <w:p>
      <w:pPr>
        <w:spacing w:after="180"/>
      </w:pPr>
      <w:r>
        <w:t xml:space="preserve">Tungsten minerals were known for centuries before element isolation. In 1781, Swedish chemist Carl Wilhelm Scheele identified tungstic acid. His colleagues, the Spanish brothers Juan José and Fausto Elhuyar, successfully isolated metallic tungsten in 1783 by reducing tungstic acid with charcoal. The name 'tungsten' comes from Swedish 'tung sten' meaning 'heavy stone.' Its chemical symbol W derives from 'wolfram,' the element's alternative name from the German 'wolf rahm' (wolf's foam), referring to the tin-eating behavior of tungsten minerals in tin smelting.</w:t>
      </w:r>
    </w:p>
    <w:p>
      <w:pPr>
        <w:spacing w:after="120"/>
      </w:pPr>
      <w:r>
        <w:rPr>
          <w:b/>
          <w:bCs/>
        </w:rPr>
        <w:t xml:space="preserve">Record-Breaking Melting Point</w:t>
      </w:r>
    </w:p>
    <w:p>
      <w:pPr>
        <w:spacing w:after="180"/>
      </w:pPr>
      <w:r>
        <w:t xml:space="preserve">Tungsten holds the distinction of having the highest melting point of any metal and any element except carbon (graphite sublimes at 3825°C without melting under normal pressure). At 3422°C, tungsten remains solid at temperatures where most other elements have long since vaporized. This extraordinary property results from strong metallic bonding involving tungsten's d-electrons. The metal also has the lowest vapor pressure at temperatures above 1650°C, meaning it resists evaporation better than any other element at extreme temperatures.</w:t>
      </w:r>
    </w:p>
    <w:p>
      <w:pPr>
        <w:spacing w:after="120"/>
      </w:pPr>
      <w:r>
        <w:rPr>
          <w:b/>
          <w:bCs/>
        </w:rPr>
        <w:t xml:space="preserve">Physical and Mechanical Properties</w:t>
      </w:r>
    </w:p>
    <w:p>
      <w:pPr>
        <w:spacing w:after="180"/>
      </w:pPr>
      <w:r>
        <w:t xml:space="preserve">Beyond its melting point record, tungsten exhibits exceptional hardness and tensile strength, especially at elevated temperatures. Pure tungsten is brittle at room temperature but becomes more workable when warm. The metal has the lowest thermal expansion coefficient of any pure metal and excellent thermal conductivity. Tungsten's high density (19.25 g/cm³) approaches that of gold (19.32 g/cm³) and exceeds lead by 70%. These combined properties make tungsten invaluable for extreme environment applications.</w:t>
      </w:r>
    </w:p>
    <w:p>
      <w:pPr>
        <w:spacing w:after="120"/>
      </w:pPr>
      <w:r>
        <w:rPr>
          <w:b/>
          <w:bCs/>
        </w:rPr>
        <w:t xml:space="preserve">Industrial and Technological Applications</w:t>
      </w:r>
    </w:p>
    <w:p>
      <w:pPr>
        <w:pStyle w:val="ListParagraph"/>
        <w:numPr>
          <w:ilvl w:val="0"/>
          <w:numId w:val="2"/>
        </w:numPr>
      </w:pPr>
      <w:r>
        <w:t xml:space="preserve">Lighting: Incandescent light bulb filaments (still used in specialized applications)</w:t>
      </w:r>
    </w:p>
    <w:p>
      <w:pPr>
        <w:pStyle w:val="ListParagraph"/>
        <w:numPr>
          <w:ilvl w:val="0"/>
          <w:numId w:val="2"/>
        </w:numPr>
      </w:pPr>
      <w:r>
        <w:t xml:space="preserve">Electronics: X-ray tube targets and electrodes</w:t>
      </w:r>
    </w:p>
    <w:p>
      <w:pPr>
        <w:pStyle w:val="ListParagraph"/>
        <w:numPr>
          <w:ilvl w:val="0"/>
          <w:numId w:val="2"/>
        </w:numPr>
      </w:pPr>
      <w:r>
        <w:t xml:space="preserve">Aerospace: Rocket nozzles and high-temperature components</w:t>
      </w:r>
    </w:p>
    <w:p>
      <w:pPr>
        <w:pStyle w:val="ListParagraph"/>
        <w:numPr>
          <w:ilvl w:val="0"/>
          <w:numId w:val="2"/>
        </w:numPr>
      </w:pPr>
      <w:r>
        <w:t xml:space="preserve">Military: Armor-piercing projectiles and kinetic energy penetrators</w:t>
      </w:r>
    </w:p>
    <w:p>
      <w:pPr>
        <w:pStyle w:val="ListParagraph"/>
        <w:numPr>
          <w:ilvl w:val="0"/>
          <w:numId w:val="2"/>
        </w:numPr>
      </w:pPr>
      <w:r>
        <w:t xml:space="preserve">Cutting tools: Tungsten carbide for drills, saw blades, and machining</w:t>
      </w:r>
    </w:p>
    <w:p>
      <w:pPr>
        <w:pStyle w:val="ListParagraph"/>
        <w:numPr>
          <w:ilvl w:val="0"/>
          <w:numId w:val="2"/>
        </w:numPr>
      </w:pPr>
      <w:r>
        <w:t xml:space="preserve">Welding: TIG welding electrodes for arc stability</w:t>
      </w:r>
    </w:p>
    <w:p>
      <w:pPr>
        <w:pStyle w:val="ListParagraph"/>
        <w:numPr>
          <w:ilvl w:val="0"/>
          <w:numId w:val="2"/>
        </w:numPr>
      </w:pPr>
      <w:r>
        <w:t xml:space="preserve">Superalloys: High-temperature alloys for turbine blades</w:t>
      </w:r>
    </w:p>
    <w:p>
      <w:pPr>
        <w:spacing w:before="120" w:after="180"/>
      </w:pPr>
      <w:r>
        <w:rPr>
          <w:b/>
          <w:bCs/>
        </w:rPr>
        <w:t xml:space="preserve">Global Production:</w:t>
      </w:r>
      <w:r>
        <w:t xml:space="preserve"> China dominates tungsten production, accounting for approximately 80% of global supply (about 70,000 metric tons annually). Other significant producers include Vietnam, Russia, and Bolivia. Tungsten is extracted primarily from scheelite and wolframite ores. Strategic importance has led to tungsten being classified as a critical material by many nations.</w:t>
      </w:r>
    </w:p>
    <w:p>
      <w:r>
        <w:br w:type="page"/>
      </w:r>
    </w:p>
    <w:p>
      <w:pPr>
        <w:pStyle w:val="Heading1"/>
      </w:pPr>
      <w:r>
        <w:t xml:space="preserve">4. Comparative Analysis</w:t>
      </w:r>
    </w:p>
    <w:p>
      <w:pPr>
        <w:pStyle w:val="Heading2"/>
      </w:pPr>
      <w:r>
        <w:t xml:space="preserve">4.1 Statistical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1870"/>
        <w:gridCol w:w="1870"/>
        <w:gridCol w:w="1870"/>
      </w:tblGrid>
      <w:tr>
        <w:trPr>
          <w:tblHeader/>
        </w:trPr>
        <w:tc>
          <w:tcPr>
            <w:tcW w:type="dxa" w:w="2800"/>
            <w:tcBorders>
              <w:top w:val="single" w:color="999999" w:sz="1"/>
              <w:left w:val="single" w:color="999999" w:sz="1"/>
              <w:bottom w:val="single" w:color="999999" w:sz="1"/>
              <w:right w:val="single" w:color="999999" w:sz="1"/>
            </w:tcBorders>
            <w:shd w:fill="D0E8F0" w:val="clear"/>
          </w:tcPr>
          <w:p>
            <w:pPr>
              <w:jc w:val="center"/>
            </w:pPr>
            <w:r>
              <w:rPr>
                <w:b/>
                <w:bCs/>
                <w:sz w:val="20"/>
                <w:szCs w:val="20"/>
              </w:rPr>
              <w:t xml:space="preserve">Property</w:t>
            </w:r>
          </w:p>
        </w:tc>
        <w:tc>
          <w:tcPr>
            <w:tcW w:type="dxa" w:w="1870"/>
            <w:tcBorders>
              <w:top w:val="single" w:color="999999" w:sz="1"/>
              <w:left w:val="single" w:color="999999" w:sz="1"/>
              <w:bottom w:val="single" w:color="999999" w:sz="1"/>
              <w:right w:val="single" w:color="999999" w:sz="1"/>
            </w:tcBorders>
            <w:shd w:fill="FFE8E8" w:val="clear"/>
          </w:tcPr>
          <w:p>
            <w:pPr>
              <w:jc w:val="center"/>
            </w:pPr>
            <w:r>
              <w:rPr>
                <w:b/>
                <w:bCs/>
                <w:sz w:val="20"/>
                <w:szCs w:val="20"/>
              </w:rPr>
              <w:t xml:space="preserve">RED</w:t>
            </w:r>
          </w:p>
        </w:tc>
        <w:tc>
          <w:tcPr>
            <w:tcW w:type="dxa" w:w="1870"/>
            <w:tcBorders>
              <w:top w:val="single" w:color="999999" w:sz="1"/>
              <w:left w:val="single" w:color="999999" w:sz="1"/>
              <w:bottom w:val="single" w:color="999999" w:sz="1"/>
              <w:right w:val="single" w:color="999999" w:sz="1"/>
            </w:tcBorders>
            <w:shd w:fill="E8E8E8" w:val="clear"/>
          </w:tcPr>
          <w:p>
            <w:pPr>
              <w:jc w:val="center"/>
            </w:pPr>
            <w:r>
              <w:rPr>
                <w:b/>
                <w:bCs/>
                <w:sz w:val="20"/>
                <w:szCs w:val="20"/>
              </w:rPr>
              <w:t xml:space="preserve">BLACK</w:t>
            </w:r>
          </w:p>
        </w:tc>
        <w:tc>
          <w:tcPr>
            <w:tcW w:type="dxa" w:w="1870"/>
            <w:tcBorders>
              <w:top w:val="single" w:color="999999" w:sz="1"/>
              <w:left w:val="single" w:color="999999" w:sz="1"/>
              <w:bottom w:val="single" w:color="999999" w:sz="1"/>
              <w:right w:val="single" w:color="999999" w:sz="1"/>
            </w:tcBorders>
            <w:shd w:fill="E8F0FF" w:val="clear"/>
          </w:tcPr>
          <w:p>
            <w:pPr>
              <w:jc w:val="center"/>
            </w:pPr>
            <w:r>
              <w:rPr>
                <w:b/>
                <w:bCs/>
                <w:sz w:val="20"/>
                <w:szCs w:val="20"/>
              </w:rPr>
              <w:t xml:space="preserve">BLUE</w:t>
            </w:r>
          </w:p>
        </w:tc>
      </w:tr>
      <w:tr>
        <w:tc>
          <w:tcPr>
            <w:tcW w:type="dxa" w:w="2800"/>
            <w:tcBorders>
              <w:top w:val="single" w:color="999999" w:sz="1"/>
              <w:left w:val="single" w:color="999999" w:sz="1"/>
              <w:bottom w:val="single" w:color="999999" w:sz="1"/>
              <w:right w:val="single" w:color="999999" w:sz="1"/>
            </w:tcBorders>
          </w:tcPr>
          <w:p>
            <w:r>
              <w:rPr>
                <w:sz w:val="20"/>
                <w:szCs w:val="20"/>
              </w:rPr>
              <w:t xml:space="preserve">Element Count</w:t>
            </w:r>
          </w:p>
        </w:tc>
        <w:tc>
          <w:tcPr>
            <w:tcW w:type="dxa" w:w="1870"/>
            <w:tcBorders>
              <w:top w:val="single" w:color="999999" w:sz="1"/>
              <w:left w:val="single" w:color="999999" w:sz="1"/>
              <w:bottom w:val="single" w:color="999999" w:sz="1"/>
              <w:right w:val="single" w:color="999999" w:sz="1"/>
            </w:tcBorders>
          </w:tcPr>
          <w:p>
            <w:pPr>
              <w:jc w:val="center"/>
            </w:pPr>
            <w:r>
              <w:rPr>
                <w:sz w:val="20"/>
                <w:szCs w:val="20"/>
              </w:rPr>
              <w:t xml:space="preserve">3</w:t>
            </w:r>
          </w:p>
        </w:tc>
        <w:tc>
          <w:tcPr>
            <w:tcW w:type="dxa" w:w="1870"/>
            <w:tcBorders>
              <w:top w:val="single" w:color="999999" w:sz="1"/>
              <w:left w:val="single" w:color="999999" w:sz="1"/>
              <w:bottom w:val="single" w:color="999999" w:sz="1"/>
              <w:right w:val="single" w:color="999999" w:sz="1"/>
            </w:tcBorders>
          </w:tcPr>
          <w:p>
            <w:pPr>
              <w:jc w:val="center"/>
            </w:pPr>
            <w:r>
              <w:rPr>
                <w:sz w:val="20"/>
                <w:szCs w:val="20"/>
              </w:rPr>
              <w:t xml:space="preserve">4</w:t>
            </w:r>
          </w:p>
        </w:tc>
        <w:tc>
          <w:tcPr>
            <w:tcW w:type="dxa" w:w="1870"/>
            <w:tcBorders>
              <w:top w:val="single" w:color="999999" w:sz="1"/>
              <w:left w:val="single" w:color="999999" w:sz="1"/>
              <w:bottom w:val="single" w:color="999999" w:sz="1"/>
              <w:right w:val="single" w:color="999999" w:sz="1"/>
            </w:tcBorders>
          </w:tcPr>
          <w:p>
            <w:pPr>
              <w:jc w:val="center"/>
            </w:pPr>
            <w:r>
              <w:rPr>
                <w:b/>
                <w:bCs/>
                <w:sz w:val="20"/>
                <w:szCs w:val="20"/>
              </w:rPr>
              <w:t xml:space="preserve">5</w:t>
            </w:r>
          </w:p>
        </w:tc>
      </w:tr>
      <w:tr>
        <w:tc>
          <w:tcPr>
            <w:tcW w:type="dxa" w:w="2800"/>
            <w:tcBorders>
              <w:top w:val="single" w:color="999999" w:sz="1"/>
              <w:left w:val="single" w:color="999999" w:sz="1"/>
              <w:bottom w:val="single" w:color="999999" w:sz="1"/>
              <w:right w:val="single" w:color="999999" w:sz="1"/>
            </w:tcBorders>
          </w:tcPr>
          <w:p>
            <w:r>
              <w:rPr>
                <w:sz w:val="20"/>
                <w:szCs w:val="20"/>
              </w:rPr>
              <w:t xml:space="preserve">Average Atomic Number</w:t>
            </w:r>
          </w:p>
        </w:tc>
        <w:tc>
          <w:tcPr>
            <w:tcW w:type="dxa" w:w="1870"/>
            <w:tcBorders>
              <w:top w:val="single" w:color="999999" w:sz="1"/>
              <w:left w:val="single" w:color="999999" w:sz="1"/>
              <w:bottom w:val="single" w:color="999999" w:sz="1"/>
              <w:right w:val="single" w:color="999999" w:sz="1"/>
            </w:tcBorders>
          </w:tcPr>
          <w:p>
            <w:pPr>
              <w:jc w:val="center"/>
            </w:pPr>
            <w:r>
              <w:rPr>
                <w:sz w:val="20"/>
                <w:szCs w:val="20"/>
              </w:rPr>
              <w:t xml:space="preserve">74.3</w:t>
            </w:r>
          </w:p>
        </w:tc>
        <w:tc>
          <w:tcPr>
            <w:tcW w:type="dxa" w:w="1870"/>
            <w:tcBorders>
              <w:top w:val="single" w:color="999999" w:sz="1"/>
              <w:left w:val="single" w:color="999999" w:sz="1"/>
              <w:bottom w:val="single" w:color="999999" w:sz="1"/>
              <w:right w:val="single" w:color="999999" w:sz="1"/>
            </w:tcBorders>
          </w:tcPr>
          <w:p>
            <w:pPr>
              <w:jc w:val="center"/>
            </w:pPr>
            <w:r>
              <w:rPr>
                <w:sz w:val="20"/>
                <w:szCs w:val="20"/>
              </w:rPr>
              <w:t xml:space="preserve">55.0</w:t>
            </w:r>
          </w:p>
        </w:tc>
        <w:tc>
          <w:tcPr>
            <w:tcW w:type="dxa" w:w="1870"/>
            <w:tcBorders>
              <w:top w:val="single" w:color="999999" w:sz="1"/>
              <w:left w:val="single" w:color="999999" w:sz="1"/>
              <w:bottom w:val="single" w:color="999999" w:sz="1"/>
              <w:right w:val="single" w:color="999999" w:sz="1"/>
            </w:tcBorders>
          </w:tcPr>
          <w:p>
            <w:pPr>
              <w:jc w:val="center"/>
            </w:pPr>
            <w:r>
              <w:rPr>
                <w:sz w:val="20"/>
                <w:szCs w:val="20"/>
              </w:rPr>
              <w:t xml:space="preserve">67.6</w:t>
            </w:r>
          </w:p>
        </w:tc>
      </w:tr>
      <w:tr>
        <w:tc>
          <w:tcPr>
            <w:tcW w:type="dxa" w:w="2800"/>
            <w:tcBorders>
              <w:top w:val="single" w:color="999999" w:sz="1"/>
              <w:left w:val="single" w:color="999999" w:sz="1"/>
              <w:bottom w:val="single" w:color="999999" w:sz="1"/>
              <w:right w:val="single" w:color="999999" w:sz="1"/>
            </w:tcBorders>
          </w:tcPr>
          <w:p>
            <w:r>
              <w:rPr>
                <w:sz w:val="20"/>
                <w:szCs w:val="20"/>
              </w:rPr>
              <w:t xml:space="preserve">Synthetic Elements</w:t>
            </w:r>
          </w:p>
        </w:tc>
        <w:tc>
          <w:tcPr>
            <w:tcW w:type="dxa" w:w="1870"/>
            <w:tcBorders>
              <w:top w:val="single" w:color="999999" w:sz="1"/>
              <w:left w:val="single" w:color="999999" w:sz="1"/>
              <w:bottom w:val="single" w:color="999999" w:sz="1"/>
              <w:right w:val="single" w:color="999999" w:sz="1"/>
            </w:tcBorders>
          </w:tcPr>
          <w:p>
            <w:pPr>
              <w:jc w:val="center"/>
            </w:pPr>
            <w:r>
              <w:rPr>
                <w:sz w:val="20"/>
                <w:szCs w:val="20"/>
              </w:rPr>
              <w:t xml:space="preserve">1 (33%)</w:t>
            </w:r>
          </w:p>
        </w:tc>
        <w:tc>
          <w:tcPr>
            <w:tcW w:type="dxa" w:w="1870"/>
            <w:tcBorders>
              <w:top w:val="single" w:color="999999" w:sz="1"/>
              <w:left w:val="single" w:color="999999" w:sz="1"/>
              <w:bottom w:val="single" w:color="999999" w:sz="1"/>
              <w:right w:val="single" w:color="999999" w:sz="1"/>
            </w:tcBorders>
          </w:tcPr>
          <w:p>
            <w:pPr>
              <w:jc w:val="center"/>
            </w:pPr>
            <w:r>
              <w:rPr>
                <w:b/>
                <w:bCs/>
                <w:sz w:val="20"/>
                <w:szCs w:val="20"/>
              </w:rPr>
              <w:t xml:space="preserve">2 (50%)</w:t>
            </w:r>
          </w:p>
        </w:tc>
        <w:tc>
          <w:tcPr>
            <w:tcW w:type="dxa" w:w="1870"/>
            <w:tcBorders>
              <w:top w:val="single" w:color="999999" w:sz="1"/>
              <w:left w:val="single" w:color="999999" w:sz="1"/>
              <w:bottom w:val="single" w:color="999999" w:sz="1"/>
              <w:right w:val="single" w:color="999999" w:sz="1"/>
            </w:tcBorders>
          </w:tcPr>
          <w:p>
            <w:pPr>
              <w:jc w:val="center"/>
            </w:pPr>
            <w:r>
              <w:rPr>
                <w:sz w:val="20"/>
                <w:szCs w:val="20"/>
              </w:rPr>
              <w:t xml:space="preserve">2 (40%)</w:t>
            </w:r>
          </w:p>
        </w:tc>
      </w:tr>
      <w:tr>
        <w:tc>
          <w:tcPr>
            <w:tcW w:type="dxa" w:w="2800"/>
            <w:tcBorders>
              <w:top w:val="single" w:color="999999" w:sz="1"/>
              <w:left w:val="single" w:color="999999" w:sz="1"/>
              <w:bottom w:val="single" w:color="999999" w:sz="1"/>
              <w:right w:val="single" w:color="999999" w:sz="1"/>
            </w:tcBorders>
          </w:tcPr>
          <w:p>
            <w:r>
              <w:rPr>
                <w:sz w:val="20"/>
                <w:szCs w:val="20"/>
              </w:rPr>
              <w:t xml:space="preserve">Biologically Essential</w:t>
            </w:r>
          </w:p>
        </w:tc>
        <w:tc>
          <w:tcPr>
            <w:tcW w:type="dxa" w:w="1870"/>
            <w:tcBorders>
              <w:top w:val="single" w:color="999999" w:sz="1"/>
              <w:left w:val="single" w:color="999999" w:sz="1"/>
              <w:bottom w:val="single" w:color="999999" w:sz="1"/>
              <w:right w:val="single" w:color="999999" w:sz="1"/>
            </w:tcBorders>
          </w:tcPr>
          <w:p>
            <w:pPr>
              <w:jc w:val="center"/>
            </w:pPr>
            <w:r>
              <w:rPr>
                <w:sz w:val="20"/>
                <w:szCs w:val="20"/>
              </w:rPr>
              <w:t xml:space="preserve">0</w:t>
            </w:r>
          </w:p>
        </w:tc>
        <w:tc>
          <w:tcPr>
            <w:tcW w:type="dxa" w:w="1870"/>
            <w:tcBorders>
              <w:top w:val="single" w:color="999999" w:sz="1"/>
              <w:left w:val="single" w:color="999999" w:sz="1"/>
              <w:bottom w:val="single" w:color="999999" w:sz="1"/>
              <w:right w:val="single" w:color="999999" w:sz="1"/>
            </w:tcBorders>
          </w:tcPr>
          <w:p>
            <w:pPr>
              <w:jc w:val="center"/>
            </w:pPr>
            <w:r>
              <w:rPr>
                <w:sz w:val="20"/>
                <w:szCs w:val="20"/>
              </w:rPr>
              <w:t xml:space="preserve">1 (Na)</w:t>
            </w:r>
          </w:p>
        </w:tc>
        <w:tc>
          <w:tcPr>
            <w:tcW w:type="dxa" w:w="1870"/>
            <w:tcBorders>
              <w:top w:val="single" w:color="999999" w:sz="1"/>
              <w:left w:val="single" w:color="999999" w:sz="1"/>
              <w:bottom w:val="single" w:color="999999" w:sz="1"/>
              <w:right w:val="single" w:color="999999" w:sz="1"/>
            </w:tcBorders>
          </w:tcPr>
          <w:p>
            <w:pPr>
              <w:jc w:val="center"/>
            </w:pPr>
            <w:r>
              <w:rPr>
                <w:sz w:val="20"/>
                <w:szCs w:val="20"/>
              </w:rPr>
              <w:t xml:space="preserve">1 (Mg)</w:t>
            </w:r>
          </w:p>
        </w:tc>
      </w:tr>
      <w:tr>
        <w:tc>
          <w:tcPr>
            <w:tcW w:type="dxa" w:w="2800"/>
            <w:tcBorders>
              <w:top w:val="single" w:color="999999" w:sz="1"/>
              <w:left w:val="single" w:color="999999" w:sz="1"/>
              <w:bottom w:val="single" w:color="999999" w:sz="1"/>
              <w:right w:val="single" w:color="999999" w:sz="1"/>
            </w:tcBorders>
          </w:tcPr>
          <w:p>
            <w:r>
              <w:rPr>
                <w:sz w:val="20"/>
                <w:szCs w:val="20"/>
              </w:rPr>
              <w:t xml:space="preserve">Toxic Elements</w:t>
            </w:r>
          </w:p>
        </w:tc>
        <w:tc>
          <w:tcPr>
            <w:tcW w:type="dxa" w:w="1870"/>
            <w:tcBorders>
              <w:top w:val="single" w:color="999999" w:sz="1"/>
              <w:left w:val="single" w:color="999999" w:sz="1"/>
              <w:bottom w:val="single" w:color="999999" w:sz="1"/>
              <w:right w:val="single" w:color="999999" w:sz="1"/>
            </w:tcBorders>
          </w:tcPr>
          <w:p>
            <w:pPr>
              <w:jc w:val="center"/>
            </w:pPr>
            <w:r>
              <w:rPr>
                <w:sz w:val="20"/>
                <w:szCs w:val="20"/>
              </w:rPr>
              <w:t xml:space="preserve">0</w:t>
            </w:r>
          </w:p>
        </w:tc>
        <w:tc>
          <w:tcPr>
            <w:tcW w:type="dxa" w:w="1870"/>
            <w:tcBorders>
              <w:top w:val="single" w:color="999999" w:sz="1"/>
              <w:left w:val="single" w:color="999999" w:sz="1"/>
              <w:bottom w:val="single" w:color="999999" w:sz="1"/>
              <w:right w:val="single" w:color="999999" w:sz="1"/>
            </w:tcBorders>
          </w:tcPr>
          <w:p>
            <w:pPr>
              <w:jc w:val="center"/>
            </w:pPr>
            <w:r>
              <w:rPr>
                <w:b/>
                <w:bCs/>
                <w:sz w:val="20"/>
                <w:szCs w:val="20"/>
              </w:rPr>
              <w:t xml:space="preserve">1 (As)</w:t>
            </w:r>
          </w:p>
        </w:tc>
        <w:tc>
          <w:tcPr>
            <w:tcW w:type="dxa" w:w="1870"/>
            <w:tcBorders>
              <w:top w:val="single" w:color="999999" w:sz="1"/>
              <w:left w:val="single" w:color="999999" w:sz="1"/>
              <w:bottom w:val="single" w:color="999999" w:sz="1"/>
              <w:right w:val="single" w:color="999999" w:sz="1"/>
            </w:tcBorders>
          </w:tcPr>
          <w:p>
            <w:pPr>
              <w:jc w:val="center"/>
            </w:pPr>
            <w:r>
              <w:rPr>
                <w:sz w:val="20"/>
                <w:szCs w:val="20"/>
              </w:rPr>
              <w:t xml:space="preserve">0</w:t>
            </w:r>
          </w:p>
        </w:tc>
      </w:tr>
      <w:tr>
        <w:tc>
          <w:tcPr>
            <w:tcW w:type="dxa" w:w="2800"/>
            <w:tcBorders>
              <w:top w:val="single" w:color="999999" w:sz="1"/>
              <w:left w:val="single" w:color="999999" w:sz="1"/>
              <w:bottom w:val="single" w:color="999999" w:sz="1"/>
              <w:right w:val="single" w:color="999999" w:sz="1"/>
            </w:tcBorders>
          </w:tcPr>
          <w:p>
            <w:r>
              <w:rPr>
                <w:sz w:val="20"/>
                <w:szCs w:val="20"/>
              </w:rPr>
              <w:t xml:space="preserve">Noble Gases</w:t>
            </w:r>
          </w:p>
        </w:tc>
        <w:tc>
          <w:tcPr>
            <w:tcW w:type="dxa" w:w="1870"/>
            <w:tcBorders>
              <w:top w:val="single" w:color="999999" w:sz="1"/>
              <w:left w:val="single" w:color="999999" w:sz="1"/>
              <w:bottom w:val="single" w:color="999999" w:sz="1"/>
              <w:right w:val="single" w:color="999999" w:sz="1"/>
            </w:tcBorders>
          </w:tcPr>
          <w:p>
            <w:pPr>
              <w:jc w:val="center"/>
            </w:pPr>
            <w:r>
              <w:rPr>
                <w:sz w:val="20"/>
                <w:szCs w:val="20"/>
              </w:rPr>
              <w:t xml:space="preserve">0</w:t>
            </w:r>
          </w:p>
        </w:tc>
        <w:tc>
          <w:tcPr>
            <w:tcW w:type="dxa" w:w="1870"/>
            <w:tcBorders>
              <w:top w:val="single" w:color="999999" w:sz="1"/>
              <w:left w:val="single" w:color="999999" w:sz="1"/>
              <w:bottom w:val="single" w:color="999999" w:sz="1"/>
              <w:right w:val="single" w:color="999999" w:sz="1"/>
            </w:tcBorders>
          </w:tcPr>
          <w:p>
            <w:pPr>
              <w:jc w:val="center"/>
            </w:pPr>
            <w:r>
              <w:rPr>
                <w:sz w:val="20"/>
                <w:szCs w:val="20"/>
              </w:rPr>
              <w:t xml:space="preserve">0</w:t>
            </w:r>
          </w:p>
        </w:tc>
        <w:tc>
          <w:tcPr>
            <w:tcW w:type="dxa" w:w="1870"/>
            <w:tcBorders>
              <w:top w:val="single" w:color="999999" w:sz="1"/>
              <w:left w:val="single" w:color="999999" w:sz="1"/>
              <w:bottom w:val="single" w:color="999999" w:sz="1"/>
              <w:right w:val="single" w:color="999999" w:sz="1"/>
            </w:tcBorders>
          </w:tcPr>
          <w:p>
            <w:pPr>
              <w:jc w:val="center"/>
            </w:pPr>
            <w:r>
              <w:rPr>
                <w:b/>
                <w:bCs/>
                <w:sz w:val="20"/>
                <w:szCs w:val="20"/>
              </w:rPr>
              <w:t xml:space="preserve">2 (Kr, Og)</w:t>
            </w:r>
          </w:p>
        </w:tc>
      </w:tr>
      <w:tr>
        <w:tc>
          <w:tcPr>
            <w:tcW w:type="dxa" w:w="2800"/>
            <w:tcBorders>
              <w:top w:val="single" w:color="999999" w:sz="1"/>
              <w:left w:val="single" w:color="999999" w:sz="1"/>
              <w:bottom w:val="single" w:color="999999" w:sz="1"/>
              <w:right w:val="single" w:color="999999" w:sz="1"/>
            </w:tcBorders>
          </w:tcPr>
          <w:p>
            <w:r>
              <w:rPr>
                <w:sz w:val="20"/>
                <w:szCs w:val="20"/>
              </w:rPr>
              <w:t xml:space="preserve">Oldest Discovery</w:t>
            </w:r>
          </w:p>
        </w:tc>
        <w:tc>
          <w:tcPr>
            <w:tcW w:type="dxa" w:w="1870"/>
            <w:tcBorders>
              <w:top w:val="single" w:color="999999" w:sz="1"/>
              <w:left w:val="single" w:color="999999" w:sz="1"/>
              <w:bottom w:val="single" w:color="999999" w:sz="1"/>
              <w:right w:val="single" w:color="999999" w:sz="1"/>
            </w:tcBorders>
          </w:tcPr>
          <w:p>
            <w:pPr>
              <w:jc w:val="center"/>
            </w:pPr>
            <w:r>
              <w:rPr>
                <w:b/>
                <w:bCs/>
                <w:sz w:val="20"/>
                <w:szCs w:val="20"/>
              </w:rPr>
              <w:t xml:space="preserve">Au (~4600 BCE)</w:t>
            </w:r>
          </w:p>
        </w:tc>
        <w:tc>
          <w:tcPr>
            <w:tcW w:type="dxa" w:w="1870"/>
            <w:tcBorders>
              <w:top w:val="single" w:color="999999" w:sz="1"/>
              <w:left w:val="single" w:color="999999" w:sz="1"/>
              <w:bottom w:val="single" w:color="999999" w:sz="1"/>
              <w:right w:val="single" w:color="999999" w:sz="1"/>
            </w:tcBorders>
          </w:tcPr>
          <w:p>
            <w:pPr>
              <w:jc w:val="center"/>
            </w:pPr>
            <w:r>
              <w:rPr>
                <w:sz w:val="20"/>
                <w:szCs w:val="20"/>
              </w:rPr>
              <w:t xml:space="preserve">As (1250 CE)</w:t>
            </w:r>
          </w:p>
        </w:tc>
        <w:tc>
          <w:tcPr>
            <w:tcW w:type="dxa" w:w="1870"/>
            <w:tcBorders>
              <w:top w:val="single" w:color="999999" w:sz="1"/>
              <w:left w:val="single" w:color="999999" w:sz="1"/>
              <w:bottom w:val="single" w:color="999999" w:sz="1"/>
              <w:right w:val="single" w:color="999999" w:sz="1"/>
            </w:tcBorders>
          </w:tcPr>
          <w:p>
            <w:pPr>
              <w:jc w:val="center"/>
            </w:pPr>
            <w:r>
              <w:rPr>
                <w:sz w:val="20"/>
                <w:szCs w:val="20"/>
              </w:rPr>
              <w:t xml:space="preserve">W (1783)</w:t>
            </w:r>
          </w:p>
        </w:tc>
      </w:tr>
      <w:tr>
        <w:tc>
          <w:tcPr>
            <w:tcW w:type="dxa" w:w="2800"/>
            <w:tcBorders>
              <w:top w:val="single" w:color="999999" w:sz="1"/>
              <w:left w:val="single" w:color="999999" w:sz="1"/>
              <w:bottom w:val="single" w:color="999999" w:sz="1"/>
              <w:right w:val="single" w:color="999999" w:sz="1"/>
            </w:tcBorders>
          </w:tcPr>
          <w:p>
            <w:r>
              <w:rPr>
                <w:sz w:val="20"/>
                <w:szCs w:val="20"/>
              </w:rPr>
              <w:t xml:space="preserve">Newest Discovery</w:t>
            </w:r>
          </w:p>
        </w:tc>
        <w:tc>
          <w:tcPr>
            <w:tcW w:type="dxa" w:w="1870"/>
            <w:tcBorders>
              <w:top w:val="single" w:color="999999" w:sz="1"/>
              <w:left w:val="single" w:color="999999" w:sz="1"/>
              <w:bottom w:val="single" w:color="999999" w:sz="1"/>
              <w:right w:val="single" w:color="999999" w:sz="1"/>
            </w:tcBorders>
          </w:tcPr>
          <w:p>
            <w:pPr>
              <w:jc w:val="center"/>
            </w:pPr>
            <w:r>
              <w:rPr>
                <w:sz w:val="20"/>
                <w:szCs w:val="20"/>
              </w:rPr>
              <w:t xml:space="preserve">Nh (2004)</w:t>
            </w:r>
          </w:p>
        </w:tc>
        <w:tc>
          <w:tcPr>
            <w:tcW w:type="dxa" w:w="1870"/>
            <w:tcBorders>
              <w:top w:val="single" w:color="999999" w:sz="1"/>
              <w:left w:val="single" w:color="999999" w:sz="1"/>
              <w:bottom w:val="single" w:color="999999" w:sz="1"/>
              <w:right w:val="single" w:color="999999" w:sz="1"/>
            </w:tcBorders>
          </w:tcPr>
          <w:p>
            <w:pPr>
              <w:jc w:val="center"/>
            </w:pPr>
            <w:r>
              <w:rPr>
                <w:sz w:val="20"/>
                <w:szCs w:val="20"/>
              </w:rPr>
              <w:t xml:space="preserve">Es (1952)</w:t>
            </w:r>
          </w:p>
        </w:tc>
        <w:tc>
          <w:tcPr>
            <w:tcW w:type="dxa" w:w="1870"/>
            <w:tcBorders>
              <w:top w:val="single" w:color="999999" w:sz="1"/>
              <w:left w:val="single" w:color="999999" w:sz="1"/>
              <w:bottom w:val="single" w:color="999999" w:sz="1"/>
              <w:right w:val="single" w:color="999999" w:sz="1"/>
            </w:tcBorders>
          </w:tcPr>
          <w:p>
            <w:pPr>
              <w:jc w:val="center"/>
            </w:pPr>
            <w:r>
              <w:rPr>
                <w:b/>
                <w:bCs/>
                <w:sz w:val="20"/>
                <w:szCs w:val="20"/>
              </w:rPr>
              <w:t xml:space="preserve">Og (2002)</w:t>
            </w:r>
          </w:p>
        </w:tc>
      </w:tr>
      <w:tr>
        <w:tc>
          <w:tcPr>
            <w:tcW w:type="dxa" w:w="2800"/>
            <w:tcBorders>
              <w:top w:val="single" w:color="999999" w:sz="1"/>
              <w:left w:val="single" w:color="999999" w:sz="1"/>
              <w:bottom w:val="single" w:color="999999" w:sz="1"/>
              <w:right w:val="single" w:color="999999" w:sz="1"/>
            </w:tcBorders>
          </w:tcPr>
          <w:p>
            <w:r>
              <w:rPr>
                <w:sz w:val="20"/>
                <w:szCs w:val="20"/>
              </w:rPr>
              <w:t xml:space="preserve">Highest Melting Point</w:t>
            </w:r>
          </w:p>
        </w:tc>
        <w:tc>
          <w:tcPr>
            <w:tcW w:type="dxa" w:w="1870"/>
            <w:tcBorders>
              <w:top w:val="single" w:color="999999" w:sz="1"/>
              <w:left w:val="single" w:color="999999" w:sz="1"/>
              <w:bottom w:val="single" w:color="999999" w:sz="1"/>
              <w:right w:val="single" w:color="999999" w:sz="1"/>
            </w:tcBorders>
          </w:tcPr>
          <w:p>
            <w:pPr>
              <w:jc w:val="center"/>
            </w:pPr>
            <w:r>
              <w:rPr>
                <w:sz w:val="20"/>
                <w:szCs w:val="20"/>
              </w:rPr>
              <w:t xml:space="preserve">Au (1064°C)</w:t>
            </w:r>
          </w:p>
        </w:tc>
        <w:tc>
          <w:tcPr>
            <w:tcW w:type="dxa" w:w="1870"/>
            <w:tcBorders>
              <w:top w:val="single" w:color="999999" w:sz="1"/>
              <w:left w:val="single" w:color="999999" w:sz="1"/>
              <w:bottom w:val="single" w:color="999999" w:sz="1"/>
              <w:right w:val="single" w:color="999999" w:sz="1"/>
            </w:tcBorders>
          </w:tcPr>
          <w:p>
            <w:pPr>
              <w:jc w:val="center"/>
            </w:pPr>
            <w:r>
              <w:rPr>
                <w:sz w:val="20"/>
                <w:szCs w:val="20"/>
              </w:rPr>
              <w:t xml:space="preserve">Ir (2446°C)</w:t>
            </w:r>
          </w:p>
        </w:tc>
        <w:tc>
          <w:tcPr>
            <w:tcW w:type="dxa" w:w="1870"/>
            <w:tcBorders>
              <w:top w:val="single" w:color="999999" w:sz="1"/>
              <w:left w:val="single" w:color="999999" w:sz="1"/>
              <w:bottom w:val="single" w:color="999999" w:sz="1"/>
              <w:right w:val="single" w:color="999999" w:sz="1"/>
            </w:tcBorders>
          </w:tcPr>
          <w:p>
            <w:pPr>
              <w:jc w:val="center"/>
            </w:pPr>
            <w:r>
              <w:rPr>
                <w:b/>
                <w:bCs/>
                <w:sz w:val="20"/>
                <w:szCs w:val="20"/>
              </w:rPr>
              <w:t xml:space="preserve">W (3422°C)</w:t>
            </w:r>
          </w:p>
        </w:tc>
      </w:tr>
      <w:tr>
        <w:tc>
          <w:tcPr>
            <w:tcW w:type="dxa" w:w="2800"/>
            <w:tcBorders>
              <w:top w:val="single" w:color="999999" w:sz="1"/>
              <w:left w:val="single" w:color="999999" w:sz="1"/>
              <w:bottom w:val="single" w:color="999999" w:sz="1"/>
              <w:right w:val="single" w:color="999999" w:sz="1"/>
            </w:tcBorders>
          </w:tcPr>
          <w:p>
            <w:r>
              <w:rPr>
                <w:sz w:val="20"/>
                <w:szCs w:val="20"/>
              </w:rPr>
              <w:t xml:space="preserve">Highest Density</w:t>
            </w:r>
          </w:p>
        </w:tc>
        <w:tc>
          <w:tcPr>
            <w:tcW w:type="dxa" w:w="1870"/>
            <w:tcBorders>
              <w:top w:val="single" w:color="999999" w:sz="1"/>
              <w:left w:val="single" w:color="999999" w:sz="1"/>
              <w:bottom w:val="single" w:color="999999" w:sz="1"/>
              <w:right w:val="single" w:color="999999" w:sz="1"/>
            </w:tcBorders>
          </w:tcPr>
          <w:p>
            <w:pPr>
              <w:jc w:val="center"/>
            </w:pPr>
            <w:r>
              <w:rPr>
                <w:sz w:val="20"/>
                <w:szCs w:val="20"/>
              </w:rPr>
              <w:t xml:space="preserve">Au (19.32)</w:t>
            </w:r>
          </w:p>
        </w:tc>
        <w:tc>
          <w:tcPr>
            <w:tcW w:type="dxa" w:w="1870"/>
            <w:tcBorders>
              <w:top w:val="single" w:color="999999" w:sz="1"/>
              <w:left w:val="single" w:color="999999" w:sz="1"/>
              <w:bottom w:val="single" w:color="999999" w:sz="1"/>
              <w:right w:val="single" w:color="999999" w:sz="1"/>
            </w:tcBorders>
          </w:tcPr>
          <w:p>
            <w:pPr>
              <w:jc w:val="center"/>
            </w:pPr>
            <w:r>
              <w:rPr>
                <w:b/>
                <w:bCs/>
                <w:sz w:val="20"/>
                <w:szCs w:val="20"/>
              </w:rPr>
              <w:t xml:space="preserve">Ir (22.56)</w:t>
            </w:r>
          </w:p>
        </w:tc>
        <w:tc>
          <w:tcPr>
            <w:tcW w:type="dxa" w:w="1870"/>
            <w:tcBorders>
              <w:top w:val="single" w:color="999999" w:sz="1"/>
              <w:left w:val="single" w:color="999999" w:sz="1"/>
              <w:bottom w:val="single" w:color="999999" w:sz="1"/>
              <w:right w:val="single" w:color="999999" w:sz="1"/>
            </w:tcBorders>
          </w:tcPr>
          <w:p>
            <w:pPr>
              <w:jc w:val="center"/>
            </w:pPr>
            <w:r>
              <w:rPr>
                <w:sz w:val="20"/>
                <w:szCs w:val="20"/>
              </w:rPr>
              <w:t xml:space="preserve">W (19.25)</w:t>
            </w:r>
          </w:p>
        </w:tc>
      </w:tr>
      <w:tr>
        <w:tc>
          <w:tcPr>
            <w:tcW w:type="dxa" w:w="2800"/>
            <w:tcBorders>
              <w:top w:val="single" w:color="999999" w:sz="1"/>
              <w:left w:val="single" w:color="999999" w:sz="1"/>
              <w:bottom w:val="single" w:color="999999" w:sz="1"/>
              <w:right w:val="single" w:color="999999" w:sz="1"/>
            </w:tcBorders>
          </w:tcPr>
          <w:p>
            <w:r>
              <w:rPr>
                <w:sz w:val="20"/>
                <w:szCs w:val="20"/>
              </w:rPr>
              <w:t xml:space="preserve">Most Valuable ($/kg)</w:t>
            </w:r>
          </w:p>
        </w:tc>
        <w:tc>
          <w:tcPr>
            <w:tcW w:type="dxa" w:w="1870"/>
            <w:tcBorders>
              <w:top w:val="single" w:color="999999" w:sz="1"/>
              <w:left w:val="single" w:color="999999" w:sz="1"/>
              <w:bottom w:val="single" w:color="999999" w:sz="1"/>
              <w:right w:val="single" w:color="999999" w:sz="1"/>
            </w:tcBorders>
          </w:tcPr>
          <w:p>
            <w:pPr>
              <w:jc w:val="center"/>
            </w:pPr>
            <w:r>
              <w:rPr>
                <w:sz w:val="20"/>
                <w:szCs w:val="20"/>
              </w:rPr>
              <w:t xml:space="preserve">Au ($60K)</w:t>
            </w:r>
          </w:p>
        </w:tc>
        <w:tc>
          <w:tcPr>
            <w:tcW w:type="dxa" w:w="1870"/>
            <w:tcBorders>
              <w:top w:val="single" w:color="999999" w:sz="1"/>
              <w:left w:val="single" w:color="999999" w:sz="1"/>
              <w:bottom w:val="single" w:color="999999" w:sz="1"/>
              <w:right w:val="single" w:color="999999" w:sz="1"/>
            </w:tcBorders>
          </w:tcPr>
          <w:p>
            <w:pPr>
              <w:jc w:val="center"/>
            </w:pPr>
            <w:r>
              <w:rPr>
                <w:sz w:val="20"/>
                <w:szCs w:val="20"/>
              </w:rPr>
              <w:t xml:space="preserve">Es (N/A)</w:t>
            </w:r>
          </w:p>
        </w:tc>
        <w:tc>
          <w:tcPr>
            <w:tcW w:type="dxa" w:w="1870"/>
            <w:tcBorders>
              <w:top w:val="single" w:color="999999" w:sz="1"/>
              <w:left w:val="single" w:color="999999" w:sz="1"/>
              <w:bottom w:val="single" w:color="999999" w:sz="1"/>
              <w:right w:val="single" w:color="999999" w:sz="1"/>
            </w:tcBorders>
          </w:tcPr>
          <w:p>
            <w:pPr>
              <w:jc w:val="center"/>
            </w:pPr>
            <w:r>
              <w:rPr>
                <w:b/>
                <w:bCs/>
                <w:sz w:val="20"/>
                <w:szCs w:val="20"/>
              </w:rPr>
              <w:t xml:space="preserve">Cf ($27M/g)</w:t>
            </w:r>
          </w:p>
        </w:tc>
      </w:tr>
    </w:tbl>
    <w:p>
      <w:pPr>
        <w:spacing w:before="360"/>
      </w:pPr>
      <w:r>
        <w:t xml:space="preserve"/>
      </w:r>
    </w:p>
    <w:p>
      <w:pPr>
        <w:pStyle w:val="Heading2"/>
      </w:pPr>
      <w:r>
        <w:t xml:space="preserve">4.2 Discovery Timeline Analysis</w:t>
      </w:r>
    </w:p>
    <w:p>
      <w:pPr>
        <w:spacing w:after="180"/>
      </w:pPr>
      <w:r>
        <w:t xml:space="preserve">The twelve elements span over 6,600 years of human scientific development, from ancient gold artifacts to 21st-century superheavy element synthesis. This timeline reveals the acceleration of chemical knowledge and the evolution of discovery techniques.</w:t>
      </w:r>
    </w:p>
    <w:p>
      <w:pPr>
        <w:spacing w:after="120"/>
      </w:pPr>
      <w:r>
        <w:rPr>
          <w:b/>
          <w:bCs/>
        </w:rPr>
        <w:t xml:space="preserve">Ancient Period (Pre-1800)</w:t>
      </w:r>
    </w:p>
    <w:p>
      <w:pPr>
        <w:pStyle w:val="ListParagraph"/>
        <w:numPr>
          <w:ilvl w:val="0"/>
          <w:numId w:val="2"/>
        </w:numPr>
      </w:pPr>
      <w:r>
        <w:t xml:space="preserve">Gold (RED): ~4600 BCE - First metal known to humans, valued across all ancient civilizations</w:t>
      </w:r>
    </w:p>
    <w:p>
      <w:pPr>
        <w:pStyle w:val="ListParagraph"/>
        <w:numPr>
          <w:ilvl w:val="0"/>
          <w:numId w:val="2"/>
        </w:numPr>
      </w:pPr>
      <w:r>
        <w:t xml:space="preserve">Arsenic (BLACK): 1250 CE - Medieval alchemy</w:t>
      </w:r>
    </w:p>
    <w:p>
      <w:pPr>
        <w:spacing w:before="120" w:after="120"/>
      </w:pPr>
      <w:r>
        <w:rPr>
          <w:b/>
          <w:bCs/>
        </w:rPr>
        <w:t xml:space="preserve">Early Modern Chemistry (1750-1850)</w:t>
      </w:r>
    </w:p>
    <w:p>
      <w:pPr>
        <w:pStyle w:val="ListParagraph"/>
        <w:numPr>
          <w:ilvl w:val="0"/>
          <w:numId w:val="2"/>
        </w:numPr>
      </w:pPr>
      <w:r>
        <w:t xml:space="preserve">Tungsten (BLUE): 1783 - Chemical reduction techniques</w:t>
      </w:r>
    </w:p>
    <w:p>
      <w:pPr>
        <w:pStyle w:val="ListParagraph"/>
        <w:numPr>
          <w:ilvl w:val="0"/>
          <w:numId w:val="2"/>
        </w:numPr>
      </w:pPr>
      <w:r>
        <w:t xml:space="preserve">Iridium (BLACK): 1803 - Platinum ore residue analysis</w:t>
      </w:r>
    </w:p>
    <w:p>
      <w:pPr>
        <w:pStyle w:val="ListParagraph"/>
        <w:numPr>
          <w:ilvl w:val="0"/>
          <w:numId w:val="2"/>
        </w:numPr>
      </w:pPr>
      <w:r>
        <w:t xml:space="preserve">Sodium (BLACK): 1807 - Electrolysis breakthrough</w:t>
      </w:r>
    </w:p>
    <w:p>
      <w:pPr>
        <w:pStyle w:val="ListParagraph"/>
        <w:numPr>
          <w:ilvl w:val="0"/>
          <w:numId w:val="2"/>
        </w:numPr>
      </w:pPr>
      <w:r>
        <w:t xml:space="preserve">Magnesium (BLUE): 1808 - Electrolysis</w:t>
      </w:r>
    </w:p>
    <w:p>
      <w:pPr>
        <w:spacing w:before="120" w:after="120"/>
      </w:pPr>
      <w:r>
        <w:rPr>
          <w:b/>
          <w:bCs/>
        </w:rPr>
        <w:t xml:space="preserve">Classical Chemistry Era (1850-1900)</w:t>
      </w:r>
    </w:p>
    <w:p>
      <w:pPr>
        <w:pStyle w:val="ListParagraph"/>
        <w:numPr>
          <w:ilvl w:val="0"/>
          <w:numId w:val="2"/>
        </w:numPr>
      </w:pPr>
      <w:r>
        <w:t xml:space="preserve">Gallium (RED): 1875 - Spectroscopy, confirmed Mendeleev's predictions</w:t>
      </w:r>
    </w:p>
    <w:p>
      <w:pPr>
        <w:pStyle w:val="ListParagraph"/>
        <w:numPr>
          <w:ilvl w:val="0"/>
          <w:numId w:val="2"/>
        </w:numPr>
      </w:pPr>
      <w:r>
        <w:t xml:space="preserve">Krypton (BLUE): 1898 - Liquid air fractional distillation</w:t>
      </w:r>
    </w:p>
    <w:p>
      <w:pPr>
        <w:spacing w:before="120" w:after="120"/>
      </w:pPr>
      <w:r>
        <w:rPr>
          <w:b/>
          <w:bCs/>
        </w:rPr>
        <w:t xml:space="preserve">Nuclear Age (1940-2000)</w:t>
      </w:r>
    </w:p>
    <w:p>
      <w:pPr>
        <w:pStyle w:val="ListParagraph"/>
        <w:numPr>
          <w:ilvl w:val="0"/>
          <w:numId w:val="2"/>
        </w:numPr>
      </w:pPr>
      <w:r>
        <w:t xml:space="preserve">Californium (BLUE): 1950 - Particle accelerator synthesis</w:t>
      </w:r>
    </w:p>
    <w:p>
      <w:pPr>
        <w:pStyle w:val="ListParagraph"/>
        <w:numPr>
          <w:ilvl w:val="0"/>
          <w:numId w:val="2"/>
        </w:numPr>
      </w:pPr>
      <w:r>
        <w:t xml:space="preserve">Einsteinium (BLACK): 1952 - Nuclear weapons testing debris</w:t>
      </w:r>
    </w:p>
    <w:p>
      <w:pPr>
        <w:spacing w:before="120" w:after="120"/>
      </w:pPr>
      <w:r>
        <w:rPr>
          <w:b/>
          <w:bCs/>
        </w:rPr>
        <w:t xml:space="preserve">Modern Superheavy Element Era (2000-Present)</w:t>
      </w:r>
    </w:p>
    <w:p>
      <w:pPr>
        <w:pStyle w:val="ListParagraph"/>
        <w:numPr>
          <w:ilvl w:val="0"/>
          <w:numId w:val="2"/>
        </w:numPr>
      </w:pPr>
      <w:r>
        <w:t xml:space="preserve">Oganesson (BLUE): 2002 - Advanced particle accelerator technology</w:t>
      </w:r>
    </w:p>
    <w:p>
      <w:pPr>
        <w:pStyle w:val="ListParagraph"/>
        <w:numPr>
          <w:ilvl w:val="0"/>
          <w:numId w:val="2"/>
        </w:numPr>
      </w:pPr>
      <w:r>
        <w:t xml:space="preserve">Nihonium (RED): 2004 - First Asian-discovered element</w:t>
      </w:r>
    </w:p>
    <w:p>
      <w:pPr>
        <w:spacing w:before="240" w:after="180"/>
      </w:pPr>
      <w:r>
        <w:t xml:space="preserve">The progression illustrates humanity's evolving capability to isolate, synthesize, and characterize increasingly complex and unstable elements. The gap between the last naturally occurring element discovery (krypton, 1898) and first synthetic element in this set (californium, 1950) marks the transition from observational chemistry to nuclear engineering.</w:t>
      </w:r>
    </w:p>
    <w:p>
      <w:r>
        <w:br w:type="page"/>
      </w:r>
    </w:p>
    <w:p>
      <w:pPr>
        <w:pStyle w:val="Heading2"/>
      </w:pPr>
      <w:r>
        <w:t xml:space="preserve">4.3 Sequence-Specific Characteristics</w:t>
      </w:r>
    </w:p>
    <w:p>
      <w:pPr>
        <w:pStyle w:val="Heading3"/>
      </w:pPr>
      <w:r>
        <w:t xml:space="preserve">4.3.1 RED Sequence: Technology and Frontiers</w:t>
      </w:r>
    </w:p>
    <w:p>
      <w:pPr>
        <w:spacing w:after="180"/>
      </w:pPr>
      <w:r>
        <w:t xml:space="preserve">The three RED elements span the extremes of modern technology. Gold represents ancient metallurgy, economic systems, and modern electronics. Gallium enables contemporary semiconductor technology, essential for LEDs, solar cells, and telecommunications. Nihonium represents the absolute frontier of nuclear physics, pushing the limits of element synthesis. This sequence bridges millennia of human technological development while maintaining a common theme: materials that advance or represent cutting-edge capabilities for their respective eras.</w:t>
      </w:r>
    </w:p>
    <w:p>
      <w:pPr>
        <w:pStyle w:val="Heading3"/>
      </w:pPr>
      <w:r>
        <w:t xml:space="preserve">4.3.2 BLACK Sequence: Extremes and Contrasts</w:t>
      </w:r>
    </w:p>
    <w:p>
      <w:pPr>
        <w:spacing w:after="180"/>
      </w:pPr>
      <w:r>
        <w:t xml:space="preserve">BLACK presents stark contrasts: sodium is biologically essential while arsenic is deadly toxic. Iridium possesses the second-highest density and exceptional corrosion resistance, while einsteinium is extraordinarily radioactive and ephemeral. This sequence captures chemistry's capacity for extremes - elements that are both life-sustaining and lethal, permanently stable and rapidly decaying, astronomically rare and reasonably abundant. The 50% synthetic ratio (highest among sequences) emphasizes BLACK's representation of extreme nuclear instability.</w:t>
      </w:r>
    </w:p>
    <w:p>
      <w:pPr>
        <w:pStyle w:val="Heading3"/>
      </w:pPr>
      <w:r>
        <w:t xml:space="preserve">4.3.3 BLUE Sequence: Records and Superlatives</w:t>
      </w:r>
    </w:p>
    <w:p>
      <w:pPr>
        <w:spacing w:after="180"/>
      </w:pPr>
      <w:r>
        <w:t xml:space="preserve">BLUE dominates superlatives: heaviest element (oganesson), highest melting point (tungsten), most expensive material (californium), and greatest element count (5). This sequence represents record-breaking properties across multiple dimensions. Magnesium enables all photosynthetic life, krypton demonstrates noble gas behavior, tungsten survives Earth's hottest conditions, californium provides unique neutron emission, and oganesson marks humanity's maximum atomic number achievement. BLUE synthesizes essential and exotic, natural and artificial, stable and fleeting.</w:t>
      </w:r>
    </w:p>
    <w:p>
      <w:r>
        <w:br w:type="page"/>
      </w:r>
    </w:p>
    <w:p>
      <w:pPr>
        <w:pStyle w:val="Heading1"/>
      </w:pPr>
      <w:r>
        <w:t xml:space="preserve">5. Conclusions</w:t>
      </w:r>
    </w:p>
    <w:p>
      <w:pPr>
        <w:pStyle w:val="Heading2"/>
      </w:pPr>
      <w:r>
        <w:t xml:space="preserve">5.1 Synthesis of Findings</w:t>
      </w:r>
    </w:p>
    <w:p>
      <w:pPr>
        <w:spacing w:after="180"/>
      </w:pPr>
      <w:r>
        <w:t xml:space="preserve">This comprehensive analysis of twelve elements derived from three-digit parsing of numerical sequences reveals remarkable diversity spanning the entire periodic table. From sodium at atomic number 11 to oganesson at 118, these elements collectively represent fundamental patterns in chemistry, nuclear physics, and materials science. Their discovery spans 6,600 years, from ancient metallurgy to modern particle accelerators, illustrating the exponential acceleration of scientific knowledge.</w:t>
      </w:r>
    </w:p>
    <w:p>
      <w:pPr>
        <w:spacing w:after="180"/>
      </w:pPr>
      <w:r>
        <w:t xml:space="preserve">The three sequences exhibit distinct compositional characters. RED emphasizes technological materials and frontier physics, with elements driving semiconductor technology and superheavy element research. BLACK captures extremes of biological essentiality and toxicity while containing the densest naturally occurring element. BLUE dominates superlatives, including the heaviest known element, highest melting point, and most expensive material, while maintaining the largest element count.</w:t>
      </w:r>
    </w:p>
    <w:p>
      <w:pPr>
        <w:pStyle w:val="Heading2"/>
      </w:pPr>
      <w:r>
        <w:t xml:space="preserve">5.2 Fundamental Insights</w:t>
      </w:r>
    </w:p>
    <w:p>
      <w:pPr>
        <w:pStyle w:val="Heading3"/>
      </w:pPr>
      <w:r>
        <w:t xml:space="preserve">5.2.1 Nuclear Stability Patterns</w:t>
      </w:r>
    </w:p>
    <w:p>
      <w:pPr>
        <w:spacing w:after="180"/>
      </w:pPr>
      <w:r>
        <w:t xml:space="preserve">The 42% synthetic element fraction significantly exceeds natural occurrence rates, reflecting the mathematical sequences' tendency to generate high atomic numbers where nuclear instability dominates. Elements beyond uranium (Z=92) require artificial synthesis, and as atomic number increases, half-lives generally decrease. Oganesson's submillisecond existence and nihonium's 10-second lifetime illustrate the challenges facing superheavy element research. The predicted 'island of stability' remains elusive, though ongoing research continues toward potentially longer-lived isotopes.</w:t>
      </w:r>
    </w:p>
    <w:p>
      <w:pPr>
        <w:pStyle w:val="Heading3"/>
      </w:pPr>
      <w:r>
        <w:t xml:space="preserve">5.2.2 Biological Relevance Distribution</w:t>
      </w:r>
    </w:p>
    <w:p>
      <w:pPr>
        <w:spacing w:after="180"/>
      </w:pPr>
      <w:r>
        <w:t xml:space="preserve">Only two elements - sodium (BLACK) and magnesium (BLUE) - are biologically essential, representing 17% of the total. This low proportion reflects the mathematical generation's indifference to biological function. Nature's requirements for life are highly specific: light elements that form stable compounds under ambient conditions, with appropriate chemical reactivity and cosmic abundance. The presence of deadly arsenic in BLACK underscores chemistry's dual nature - elements can sustain or destroy life depending on concentration and chemical form.</w:t>
      </w:r>
    </w:p>
    <w:p>
      <w:pPr>
        <w:pStyle w:val="Heading3"/>
      </w:pPr>
      <w:r>
        <w:t xml:space="preserve">5.2.3 Economic Value Hierarchy</w:t>
      </w:r>
    </w:p>
    <w:p>
      <w:pPr>
        <w:spacing w:after="180"/>
      </w:pPr>
      <w:r>
        <w:t xml:space="preserve">Economic value spans nine orders of magnitude, from abundant magnesium and sodium costing dollars per kilogram to californium-252 at $27 million per gram. Gold occupies middle ground at $60,000 per kilogram, valued for rarity and unique properties. Tungsten's moderate cost reflects industrial abundance despite technological importance. The synthetic elements' astronomical costs derive from synthesis complexity and limited production, not utility - they have essentially zero commercial value beyond research. This hierarchy demonstrates that economic worth depends on supply, demand, and practical utility rather than atomic complexity.</w:t>
      </w:r>
    </w:p>
    <w:p>
      <w:pPr>
        <w:pStyle w:val="Heading2"/>
      </w:pPr>
      <w:r>
        <w:t xml:space="preserve">5.3 Broader Implications</w:t>
      </w:r>
    </w:p>
    <w:p>
      <w:pPr>
        <w:pStyle w:val="Heading3"/>
      </w:pPr>
      <w:r>
        <w:t xml:space="preserve">5.3.1 Limits of Element Discovery</w:t>
      </w:r>
    </w:p>
    <w:p>
      <w:pPr>
        <w:spacing w:after="180"/>
      </w:pPr>
      <w:r>
        <w:t xml:space="preserve">Oganesson currently marks the frontier, but practical and theoretical limits constrain further progress. Beyond Z=118, synthesis difficulty increases exponentially. Elements 119 and 120 require new target-projectile combinations and years of accelerator operation to produce potentially single atoms. Half-lives are expected to remain extremely short until reaching the hypothetical island of stability (predicted near Z=126-130), where closed nuclear shells might provide enhanced stability. Whether this island exists remains one of nuclear physics' great unanswered questions.</w:t>
      </w:r>
    </w:p>
    <w:p>
      <w:pPr>
        <w:pStyle w:val="Heading3"/>
      </w:pPr>
      <w:r>
        <w:t xml:space="preserve">5.3.2 Materials Science Perspective</w:t>
      </w:r>
    </w:p>
    <w:p>
      <w:pPr>
        <w:spacing w:after="180"/>
      </w:pPr>
      <w:r>
        <w:t xml:space="preserve">The elements' diverse properties enable modern technology. Tungsten's melting point enables high-temperature applications from rocket nozzles to light bulb filaments. Gallium arsenide semiconductors power telecommunications and optoelectronics. Gold's conductivity and corrosion resistance make it indispensable for electronics. Magnesium alloys provide lightweight structural materials for aerospace and automotive applications. Even exotic elements like californium serve critical niches in neutron sources and cancer treatment. Understanding these properties guides materials selection and inspires searches for new materials with optimized characteristics.</w:t>
      </w:r>
    </w:p>
    <w:p>
      <w:pPr>
        <w:pStyle w:val="Heading3"/>
      </w:pPr>
      <w:r>
        <w:t xml:space="preserve">5.3.3 Historical and Cultural Significance</w:t>
      </w:r>
    </w:p>
    <w:p>
      <w:pPr>
        <w:spacing w:after="180"/>
      </w:pPr>
      <w:r>
        <w:t xml:space="preserve">Gold's 6,600-year human relationship demonstrates elements' cultural importance beyond chemistry. From ancient Egyptian tombs to modern central bank reserves, gold symbolizes wealth, permanence, and beauty. Arsenic's notorious history as a poison shaped Renaissance politics and modern forensic science. Sodium's role in human nutrition influenced civilization development through salt trade routes. These cultural dimensions remind us that elements exist not merely as abstract atomic numbers but as materials intimately connected to human experience, economy, and history.</w:t>
      </w:r>
    </w:p>
    <w:p>
      <w:pPr>
        <w:pStyle w:val="Heading2"/>
      </w:pPr>
      <w:r>
        <w:t xml:space="preserve">5.4 Future Research Directions</w:t>
      </w:r>
    </w:p>
    <w:p>
      <w:pPr>
        <w:spacing w:after="180"/>
      </w:pPr>
      <w:r>
        <w:t xml:space="preserve">Future work could explore several promising directions. Computational chemistry could model potential compounds and properties of synthetic elements, predicting behaviors impossible to measure experimentally. Comparative abundance studies could quantify how closely these mathematical sequences approximate natural element distributions in stellar spectra, meteorites, or planetary compositions. Investigation of element clustering patterns might reveal whether certain atomic number ranges naturally group together across different generation methods.</w:t>
      </w:r>
    </w:p>
    <w:p>
      <w:pPr>
        <w:spacing w:after="180"/>
      </w:pPr>
      <w:r>
        <w:t xml:space="preserve">The ongoing search for elements 119, 120, and beyond will continue testing nuclear theory and synthesis capabilities. Each new element provides data points validating or challenging theoretical models. Simultaneously, research into practical applications of existing elements continues - new uses for tungsten carbide, improved gallium nitride electronics, better californium neutron sources, and advanced magnesium alloys demonstrate that even well-known elements yield new discoveries.</w:t>
      </w:r>
    </w:p>
    <w:p>
      <w:pPr>
        <w:pStyle w:val="Heading2"/>
      </w:pPr>
      <w:r>
        <w:t xml:space="preserve">5.5 Final Remarks</w:t>
      </w:r>
    </w:p>
    <w:p>
      <w:pPr>
        <w:spacing w:after="240"/>
      </w:pPr>
      <w:r>
        <w:t xml:space="preserve">These twelve elements - spanning from ancient gold to fleeting oganesson, from life-sustaining magnesium to toxic arsenic, from abundant sodium to precious californium - collectively illustrate the extraordinary diversity of matter. They demonstrate chemistry's capacity to embrace extremes, bridge millennia of human knowledge, and push the boundaries of nuclear stability. Each element tells its own story while contributing to a larger narrative about how we understand, manipulate, and apply the fundamental building blocks of our universe. Together, they represent both our deepest historical connection to materials and our most advanced technological frontiers, reminding us that the periodic table remains a framework not just for organizing elements but for organizing human knowledge itself.</w:t>
      </w:r>
    </w:p>
    <w:p>
      <w:r>
        <w:br w:type="page"/>
      </w:r>
    </w:p>
    <w:p>
      <w:pPr>
        <w:pStyle w:val="Heading1"/>
      </w:pPr>
      <w:r>
        <w:t xml:space="preserve">6. References</w:t>
      </w:r>
    </w:p>
    <w:p>
      <w:pPr>
        <w:spacing w:after="120"/>
      </w:pPr>
      <w:r>
        <w:t xml:space="preserve">Emsley, J. (2011). Nature's Building Blocks: An A-Z Guide to the Elements (2nd ed.). Oxford University Press.</w:t>
      </w:r>
    </w:p>
    <w:p>
      <w:pPr>
        <w:spacing w:after="120"/>
      </w:pPr>
      <w:r>
        <w:t xml:space="preserve">Greenwood, N. N., &amp; Earnshaw, A. (1997). Chemistry of the Elements (2nd ed.). Butterworth-Heinemann.</w:t>
      </w:r>
    </w:p>
    <w:p>
      <w:pPr>
        <w:spacing w:after="120"/>
      </w:pPr>
      <w:r>
        <w:t xml:space="preserve">Seaborg, G. T., &amp; Loveland, W. D. (1990). The Elements Beyond Uranium. Wiley-Interscience.</w:t>
      </w:r>
    </w:p>
    <w:p>
      <w:pPr>
        <w:spacing w:after="120"/>
      </w:pPr>
      <w:r>
        <w:t xml:space="preserve">International Union of Pure and Applied Chemistry (IUPAC). (2024). Periodic Table of Elements. IUPAC.</w:t>
      </w:r>
    </w:p>
    <w:p>
      <w:pPr>
        <w:spacing w:after="120"/>
      </w:pPr>
      <w:r>
        <w:t xml:space="preserve">Oganessian, Yu. Ts., &amp; Utyonkov, V. K. (2015). Super-heavy element research. Reports on Progress in Physics, 78(3), 036301.</w:t>
      </w:r>
    </w:p>
    <w:p>
      <w:pPr>
        <w:spacing w:after="120"/>
      </w:pPr>
      <w:r>
        <w:t xml:space="preserve">Gray, T. (2009). The Elements: A Visual Exploration of Every Known Atom in the Universe. Black Dog &amp; Leventhal.</w:t>
      </w:r>
    </w:p>
    <w:p>
      <w:pPr>
        <w:spacing w:after="120"/>
      </w:pPr>
      <w:r>
        <w:t xml:space="preserve">Kaltsoyannis, N., &amp; Scott, P. (1999). The f Elements. Oxford University Press.</w:t>
      </w:r>
    </w:p>
    <w:p>
      <w:pPr>
        <w:spacing w:after="120"/>
      </w:pPr>
      <w:r>
        <w:t xml:space="preserve">Frausto da Silva, J. J. R., &amp; Williams, R. J. P. (2001). The Biological Chemistry of the Elements (2nd ed.). Oxford University Press.</w:t>
      </w:r>
    </w:p>
    <w:p>
      <w:pPr>
        <w:spacing w:after="120"/>
      </w:pPr>
      <w:r>
        <w:t xml:space="preserve">Choppin, G., Liljenzin, J., &amp; Rydberg, J. (2002). Radiochemistry and Nuclear Chemistry (3rd ed.). Butterworth-Heinemann.</w:t>
      </w:r>
    </w:p>
    <w:p>
      <w:pPr>
        <w:spacing w:after="120"/>
      </w:pPr>
      <w:r>
        <w:t xml:space="preserve">Cowan, J. J., &amp; Sneden, C. (2006). Heavy Element Synthesis in the Oldest Stars and the Early Universe. Nature, 440, 1151-1156.</w:t>
      </w:r>
    </w:p>
    <w:p>
      <w:pPr>
        <w:spacing w:after="120"/>
      </w:pPr>
      <w:r>
        <w:t xml:space="preserve">Abbott, B. P., et al. (2017). GW170817: Observation of Gravitational Waves from a Binary Neutron Star Inspiral. Physical Review Letters, 119, 161101.</w:t>
      </w:r>
    </w:p>
    <w:p>
      <w:pPr>
        <w:spacing w:after="120"/>
      </w:pPr>
      <w:r>
        <w:t xml:space="preserve">Lodders, K. (2003). Solar System Abundances and Condensation Temperatures of the Elements. Astrophysical Journal, 591, 1220-1247.</w:t>
      </w:r>
    </w:p>
    <w:p>
      <w:pPr>
        <w:spacing w:after="120"/>
      </w:pPr>
      <w:r>
        <w:t xml:space="preserve">Hofmann, S., &amp; Münzenberg, G. (2000). The Discovery of the Heaviest Elements. Reviews of Modern Physics, 72(3), 733-767.</w:t>
      </w:r>
    </w:p>
    <w:p>
      <w:pPr>
        <w:spacing w:after="120"/>
      </w:pPr>
      <w:r>
        <w:t xml:space="preserve">National Research Council. (2008). Origin and Evolution of Earth: Research Questions for a Changing Planet. National Academies Press.</w:t>
      </w:r>
    </w:p>
    <w:p>
      <w:pPr>
        <w:spacing w:after="120"/>
      </w:pPr>
      <w:r>
        <w:t xml:space="preserve">Moody, K. J., Shaughnessy, D. A., &amp; Gregorich, K. E. (2013). Actinide Research Quarterly, Los Alamos National Laboratory.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a1a1a"/>
      <w:sz w:val="48"/>
      <w:szCs w:val="48"/>
    </w:rPr>
  </w:style>
  <w:style w:type="paragraph" w:styleId="Subtitle">
    <w:name w:val="Subtitle"/>
    <w:basedOn w:val="Normal"/>
    <w:pPr>
      <w:spacing w:after="240"/>
      <w:jc w:val="center"/>
    </w:pPr>
    <w:rPr>
      <w:rFonts w:ascii="Arial" w:cs="Arial" w:eastAsia="Arial" w:hAnsi="Arial"/>
      <w:color w:val="4a4a4a"/>
      <w:sz w:val="28"/>
      <w:szCs w:val="28"/>
    </w:rPr>
  </w:style>
  <w:style w:type="paragraph" w:styleId="Heading1">
    <w:name w:val="Heading 1"/>
    <w:basedOn w:val="Normal"/>
    <w:next w:val="Normal"/>
    <w:qFormat/>
    <w:pPr>
      <w:spacing w:before="360" w:after="180"/>
      <w:outlineLvl w:val="0"/>
    </w:pPr>
    <w:rPr>
      <w:rFonts w:ascii="Arial" w:cs="Arial" w:eastAsia="Arial" w:hAnsi="Arial"/>
      <w:b/>
      <w:bCs/>
      <w:color w:val="1a1a1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a2a2a"/>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2025-11-24T11:45:38.306Z</dcterms:created>
  <dcterms:modified xsi:type="dcterms:W3CDTF">2025-11-24T11:45:38.307Z</dcterms:modified>
</cp:coreProperties>
</file>

<file path=docProps/custom.xml><?xml version="1.0" encoding="utf-8"?>
<Properties xmlns="http://schemas.openxmlformats.org/officeDocument/2006/custom-properties" xmlns:vt="http://schemas.openxmlformats.org/officeDocument/2006/docPropsVTypes"/>
</file>