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One-Pager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on A4. Hand to anyone. Keep it.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has creative people. What it lacks is creative infrastructure — the systems that connect individual acts of creativity to civic life.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builds that infrastructure. Permanently. Starting now.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THINGS THAT WILL EXIST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MURAL THAT TEACHES.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with students in a Frankston primary school. Curriculum-linked. On the wall for decades. Not decoration — a teaching tool with a resource pack that any teacher can use.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LIBRARY WHERE YOU MAKE THINGS.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Library gets a dedicated creative technology space. Drawing. Music. Writing. Animation. No accounts. No tracking. No advertising. Just tools that serve the child.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WALK THAT TELLS FRANKSTON'S STORY.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to fifteen stops through the CBD and foreshore. QR codes linking to local art, local voices, local history. No app. No download. Phone optional, wonder required.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THIS DIFFERENT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other creative program in this city produces an event. Frankston 2035 produces infrastructure.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funding ends, the mural is still on the wall.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program finishes, the library space is still open.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artist moves on, the walk is still there.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difference between a project and a system.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TEN-YEAR PICTURE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2026–2027    Three pilots. Three permanent outcomes. One model proven.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2028–2030    Five schools. Expanded library program. Walk grows to 30+ stops.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2031–2035    Frankston becomes the model. Other councils adopt it.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50+ permanent artworks. City known for civic creativity.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DOES THIS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 — Frankston-rooted creative practice. Public art, community programs, educational resources. The engine of this project, not the ego.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CITY COUNCIL — The civic partner. Opens doors. Co-invests. Points to the result. Frankston is always the hero.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SCHOOLS, LIBRARIES, AND ARTISTS — Own the outcomes. Run the programs. The work transfers to them on completion.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COSTS TO START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Creative Pack (recommended first pilot): Council co-investment $12,000–$15,000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Mural: Council co-investment $25,000–$35,000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Art Walk: Council co-investment $10,000–$15,000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pilot phase: $47,000–$65,000 Council contribution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matched by Blue Snake Studio contribution and grants (Creative Victoria, Australia Council).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OBVIOUS STEP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45-minute conversation with the relevant Council officer.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bluesssnakestudio@gmail.com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 — Version 1.0 — June 2026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full pitch: see 03 — COUNCIL AND PARTNERS — Council Pitch Document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