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 2035 — ART THAT LIVES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Council Pitch Document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For: Frankston City Council officers and Councillors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Blue Snake Studio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June 2026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ONE SENTENCE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 2035 is a ten-year creative infrastructure program that puts permanent art in schools, healthy technology in libraries, and self-guided creative walks in the city's streets — starting with three fully scoped pilots.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PROBLEM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 has creative people. It lacks the infrastructure to connect them.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Young people in Frankston have fewer publicly funded creative opportunities than comparable Victorian cities.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Technology in schools and libraries increasingly extracts children's data and attention, without returning lasting creative value.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Public art exists in Frankston — but it does not teach, it does not connect, and it does not grow.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not a criticism. It is a structural gap that other cities have closed. Frankston can close it too.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OPPORTUNITY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forces are converging: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CULTURAL: Post-pandemic demand for place-based meaning. Public art investment is resurging nationally. Communities want to see themselves reflected in their city.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TECHNOLOGICAL: Growing concern about children's digital safety. Parents, teachers, and councils are actively looking for alternatives to platform-based technology in learning environments.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FUNDING: Creative Victoria, Australia Council, and federal place-based investment programs are actively seeking proposals in exactly this space. The window is open.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THREE PILOTS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PILOT 01 — THE LIVING MURAL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curriculum-linked mural co-designed with students in a Frankston primary school.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Where: A Frankston primary school (site to be confirmed with Council)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Timeline: 12 months from commission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permanent: Large-scale mural + curriculum resource pack owned by the school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Budget: $45,000–$65,000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Council role: Facilitate school relationship + permit support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owns it: The school, permanently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mural is not decoration. It is built around curriculum content. Students co-design it. Teachers use it. The artist is credited. The wall teaches long after BSS has left.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PILOT 02 — THE HEALTHY TECH LIBRARY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dedicated creative technology space in Frankston Library — no accounts, no tracking, no advertising.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Where: Frankston Library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Timeline: 6 months setup + ongoing programming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permanent: Installed space + trained facilitators + ongoing program owned by the Library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Budget: $30,000–$50,000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Council role: Facilitate library partnership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owns it: Frankston Library Service, permanently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tool meets the Healthy Technology Charter. Drawing. Music. Writing. Building. No child creates an account. The screen is a doorway, not a destination.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PILOT 03 — THE QR ART WALK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self-guided creative walk through Frankston using QR codes to surface local stories, artworks, and audio.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Where: Frankston CBD and foreshore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Timeline: 6 months development + permanent installation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permanent: 10–15 QR stops + printed map + expandable web system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Budget: $20,000–$35,000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Council role: Site access + signage permits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owns it: The city and community, permanently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app. No download. Content created by local artists and community members. New stops can be added by anyone following the system. Owned by Frankston, not by a platform.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BUDGET SUMMARY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Pilot 01 — Living Mural: Council co-investment $25,000–$35,000 + BSS/grants for balance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Pilot 02 — Healthy Tech Library: Council co-investment $15,000–$25,000 + BSS/grants for balance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Pilot 03 — QR Art Walk: Council co-investment $10,000–$15,000 + BSS/grants for balance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Council pilot contribution: $50,000–$75,000 (BSS contributes + grant-matched, target 2:1)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estimates include 15% contingency.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WE ARE ASKING COUNCIL TO DO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 asks. One is financial. Three cost nothing but a decision.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PARTNERSHIP STATEMENT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Frankston 2035 as a Council-supported initiative. Zero financial cost.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CO-INVESTMENT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 $50,000–$75,000 across the three pilots. One line item, matched 2:1.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PERMIT FACILITATION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nominated officer to assist with site access. 2–3 hours of staff time total.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HEALTHY TECHNOLOGY ALIGNMENT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Council statement that child-facing programs are evaluated against the Healthy Technology Charter. Zero cost. Significant credibility.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not asking Council to run this project. We are asking Council to believe in it, open doors, and share in the outcome.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COUNCIL RECEIVES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Partnership endorsement → First-mover credibility in civic creativity nationally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Co-investment → Three permanent public assets, 2:1 matched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 facilitation → 2–3 hours of staff time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Healthy Technology statement → Alignment with national children's digital safety agenda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START WITH THE LIBRARY CREATIVE PACK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Recommended first pilot: a curated set of offline creative tools installed in Frankston Library.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Cost: $20,000–$30,000 total. Council contribution: $12,000–$15,000.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Timeline: 3–4 months from decision to open.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first: Single partner. No software development. No First Nations cultural content requirements. Visible, permanent outcome. Demonstrates the project's philosophy immediately. Builds the Library relationship.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WE KNOW AND WHAT WE DON'T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walk delivery model works — PROVEN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BSS has the capability to deliver — PROVEN (component skills)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Murals can function as teaching tools — DRAFT (methodology sound, not yet tested in Frankston)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art increases community belonging — DRAFT (well-supported in literature, not yet measured locally)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Budget estimates are realistic — DRAFT (benchmarked against NAVA rates, not yet supplier-quoted)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claims are tracked in the Proof Register. No claim is overstated.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PROTECTS THIS PROJECT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NATIONS PROTOCOL: A documented 9-part process governing all engagement with First Nations community. The process begins with listening, not content creation. No cultural material is used without explicit written permission.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HEALTHY TECHNOLOGY CHARTER: Three-question test applied to every technology used near children. Fail any question: the technology is rejected.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REGISTER: Full risk tracking across strategic, operational, cultural, financial, and pitch-stage risks.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NEXT STEP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45-minute conversation. No commitment required.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Council officer reviews this document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45-minute meeting scheduled (BSS will prepare agenda)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Outcome: proceed / conditions / not right now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If proceed: partnership statement drafted within 30 days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Contact: Blue Snake Studio — bluesssnakestudio@gmail.com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 2035 — Art That Lives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Council Pitch Document v1.0 — June 2026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Snake Studio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