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17d991aa3f26548bb14b9d6bd60e06b82f3e3bb"/>
    <w:p>
      <w:pPr>
        <w:pStyle w:val="Heading1"/>
      </w:pPr>
      <w:r>
        <w:t xml:space="preserve">Evaluation of the Meta‑Pet Education App (Blue Snake Studios / Themossman)</w:t>
      </w:r>
    </w:p>
    <w:bookmarkStart w:id="27" w:name="overview"/>
    <w:p>
      <w:pPr>
        <w:pStyle w:val="Heading2"/>
      </w:pPr>
      <w:r>
        <w:t xml:space="preserve">Overview</w:t>
      </w:r>
    </w:p>
    <w:p>
      <w:pPr>
        <w:pStyle w:val="FirstParagraph"/>
      </w:pPr>
      <w:r>
        <w:t xml:space="preserve">The</w:t>
      </w:r>
      <w:r>
        <w:t xml:space="preserve"> </w:t>
      </w:r>
      <w:r>
        <w:rPr>
          <w:b/>
          <w:bCs/>
        </w:rPr>
        <w:t xml:space="preserve">Meta‑Pet</w:t>
      </w:r>
      <w:r>
        <w:t xml:space="preserve"> </w:t>
      </w:r>
      <w:r>
        <w:t xml:space="preserve">site hosted at themossman.netlify.app presents itself as a playful digital companion with interactive features such as pet‑care actions, a genome explorer and an identity vault. The</w:t>
      </w:r>
      <w:r>
        <w:t xml:space="preserve"> </w:t>
      </w:r>
      <w:r>
        <w:rPr>
          <w:i/>
          <w:iCs/>
        </w:rPr>
        <w:t xml:space="preserve">Identity Vault</w:t>
      </w:r>
      <w:r>
        <w:t xml:space="preserve"> </w:t>
      </w:r>
      <w:r>
        <w:t xml:space="preserve">page suggests that the user’s email and username are stored locally and used to synchronise profile details across QR messaging and pet profiles</w:t>
      </w:r>
      <w:hyperlink r:id="rId21">
        <w:r>
          <w:rPr>
            <w:rStyle w:val="Hyperlink"/>
          </w:rPr>
          <w:t xml:space="preserve">[1]</w:t>
        </w:r>
      </w:hyperlink>
      <w:r>
        <w:t xml:space="preserve">. The</w:t>
      </w:r>
      <w:r>
        <w:t xml:space="preserve"> </w:t>
      </w:r>
      <w:r>
        <w:rPr>
          <w:i/>
          <w:iCs/>
        </w:rPr>
        <w:t xml:space="preserve">Pet</w:t>
      </w:r>
      <w:r>
        <w:t xml:space="preserve"> </w:t>
      </w:r>
      <w:r>
        <w:t xml:space="preserve">page shows a cockatoo performing figure‑eights within a golden–cyan mandala and provides metrics for</w:t>
      </w:r>
      <w:r>
        <w:t xml:space="preserve"> </w:t>
      </w:r>
      <w:r>
        <w:rPr>
          <w:b/>
          <w:bCs/>
        </w:rPr>
        <w:t xml:space="preserve">hunger</w:t>
      </w:r>
      <w:r>
        <w:t xml:space="preserve">,</w:t>
      </w:r>
      <w:r>
        <w:t xml:space="preserve"> </w:t>
      </w:r>
      <w:r>
        <w:rPr>
          <w:b/>
          <w:bCs/>
        </w:rPr>
        <w:t xml:space="preserve">hygiene</w:t>
      </w:r>
      <w:r>
        <w:t xml:space="preserve"> </w:t>
      </w:r>
      <w:r>
        <w:t xml:space="preserve">and</w:t>
      </w:r>
      <w:r>
        <w:t xml:space="preserve"> </w:t>
      </w:r>
      <w:r>
        <w:rPr>
          <w:b/>
          <w:bCs/>
        </w:rPr>
        <w:t xml:space="preserve">mood</w:t>
      </w:r>
      <w:r>
        <w:t xml:space="preserve">; users can choose actions like</w:t>
      </w:r>
      <w:r>
        <w:t xml:space="preserve"> </w:t>
      </w:r>
      <w:r>
        <w:rPr>
          <w:i/>
          <w:iCs/>
        </w:rPr>
        <w:t xml:space="preserve">feed</w:t>
      </w:r>
      <w:r>
        <w:t xml:space="preserve">,</w:t>
      </w:r>
      <w:r>
        <w:t xml:space="preserve"> </w:t>
      </w:r>
      <w:r>
        <w:rPr>
          <w:i/>
          <w:iCs/>
        </w:rPr>
        <w:t xml:space="preserve">clean</w:t>
      </w:r>
      <w:r>
        <w:t xml:space="preserve">,</w:t>
      </w:r>
      <w:r>
        <w:t xml:space="preserve"> </w:t>
      </w:r>
      <w:r>
        <w:rPr>
          <w:i/>
          <w:iCs/>
        </w:rPr>
        <w:t xml:space="preserve">play</w:t>
      </w:r>
      <w:r>
        <w:t xml:space="preserve"> </w:t>
      </w:r>
      <w:r>
        <w:t xml:space="preserve">and</w:t>
      </w:r>
      <w:r>
        <w:t xml:space="preserve"> </w:t>
      </w:r>
      <w:r>
        <w:rPr>
          <w:i/>
          <w:iCs/>
        </w:rPr>
        <w:t xml:space="preserve">sleep</w:t>
      </w:r>
      <w:hyperlink r:id="rId22">
        <w:r>
          <w:rPr>
            <w:rStyle w:val="Hyperlink"/>
          </w:rPr>
          <w:t xml:space="preserve">[2]</w:t>
        </w:r>
      </w:hyperlink>
      <w:r>
        <w:t xml:space="preserve">. The</w:t>
      </w:r>
      <w:r>
        <w:t xml:space="preserve"> </w:t>
      </w:r>
      <w:r>
        <w:rPr>
          <w:i/>
          <w:iCs/>
        </w:rPr>
        <w:t xml:space="preserve">Genome Explorer</w:t>
      </w:r>
      <w:r>
        <w:t xml:space="preserve"> </w:t>
      </w:r>
      <w:r>
        <w:t xml:space="preserve">displays a</w:t>
      </w:r>
      <w:r>
        <w:t xml:space="preserve"> </w:t>
      </w:r>
      <w:r>
        <w:rPr>
          <w:b/>
          <w:bCs/>
        </w:rPr>
        <w:t xml:space="preserve">palindromic wheel</w:t>
      </w:r>
      <w:r>
        <w:t xml:space="preserve"> </w:t>
      </w:r>
      <w:r>
        <w:t xml:space="preserve">and statistics such as vitality, intelligence and agility, indicating a gamified representation of genetic traits</w:t>
      </w:r>
      <w:hyperlink r:id="rId23">
        <w:r>
          <w:rPr>
            <w:rStyle w:val="Hyperlink"/>
          </w:rPr>
          <w:t xml:space="preserve">[3]</w:t>
        </w:r>
      </w:hyperlink>
      <w:r>
        <w:t xml:space="preserve">. Throughout the site, a footer notes that all “Jewble” branding and creative intellectual property belong to</w:t>
      </w:r>
      <w:r>
        <w:t xml:space="preserve"> </w:t>
      </w:r>
      <w:r>
        <w:rPr>
          <w:b/>
          <w:bCs/>
        </w:rPr>
        <w:t xml:space="preserve">Blue Snake Studios</w:t>
      </w:r>
      <w:r>
        <w:t xml:space="preserve"> </w:t>
      </w:r>
      <w:r>
        <w:t xml:space="preserve">and that schools receive a limited educational‑use licence</w:t>
      </w:r>
      <w:hyperlink r:id="rId24">
        <w:r>
          <w:rPr>
            <w:rStyle w:val="Hyperlink"/>
          </w:rPr>
          <w:t xml:space="preserve">[4]</w:t>
        </w:r>
      </w:hyperlink>
      <w:hyperlink r:id="rId25">
        <w:r>
          <w:rPr>
            <w:rStyle w:val="Hyperlink"/>
          </w:rPr>
          <w:t xml:space="preserve">[5]</w:t>
        </w:r>
      </w:hyperlink>
      <w:r>
        <w:t xml:space="preserve">.</w:t>
      </w:r>
    </w:p>
    <w:bookmarkStart w:id="26" w:name="Xabd016e5b1b7b6b1720fa73cd37ef5160c651a6"/>
    <w:p>
      <w:pPr>
        <w:pStyle w:val="Heading3"/>
      </w:pPr>
      <w:r>
        <w:t xml:space="preserve">Missing “Your Education App – Professional” page</w:t>
      </w:r>
    </w:p>
    <w:p>
      <w:pPr>
        <w:pStyle w:val="FirstParagraph"/>
      </w:pPr>
      <w:r>
        <w:t xml:space="preserve">The URL supplied by the user (</w:t>
      </w:r>
      <w:r>
        <w:rPr>
          <w:rStyle w:val="VerbatimChar"/>
        </w:rPr>
        <w:t xml:space="preserve">/your education app professional</w:t>
      </w:r>
      <w:r>
        <w:t xml:space="preserve">) currently returns a 404 error, and attempts to open variations of the path (with spaces encoded or hyphenated) also return “This page could not be found.” Navigation from the homepage reveals only the</w:t>
      </w:r>
      <w:r>
        <w:t xml:space="preserve"> </w:t>
      </w:r>
      <w:r>
        <w:rPr>
          <w:b/>
          <w:bCs/>
        </w:rPr>
        <w:t xml:space="preserve">Home</w:t>
      </w:r>
      <w:r>
        <w:t xml:space="preserve">,</w:t>
      </w:r>
      <w:r>
        <w:t xml:space="preserve"> </w:t>
      </w:r>
      <w:r>
        <w:rPr>
          <w:b/>
          <w:bCs/>
        </w:rPr>
        <w:t xml:space="preserve">Pet</w:t>
      </w:r>
      <w:r>
        <w:t xml:space="preserve">,</w:t>
      </w:r>
      <w:r>
        <w:t xml:space="preserve"> </w:t>
      </w:r>
      <w:r>
        <w:rPr>
          <w:b/>
          <w:bCs/>
        </w:rPr>
        <w:t xml:space="preserve">School</w:t>
      </w:r>
      <w:r>
        <w:t xml:space="preserve">,</w:t>
      </w:r>
      <w:r>
        <w:t xml:space="preserve"> </w:t>
      </w:r>
      <w:r>
        <w:rPr>
          <w:b/>
          <w:bCs/>
        </w:rPr>
        <w:t xml:space="preserve">Identity</w:t>
      </w:r>
      <w:r>
        <w:t xml:space="preserve"> </w:t>
      </w:r>
      <w:r>
        <w:t xml:space="preserve">and</w:t>
      </w:r>
      <w:r>
        <w:t xml:space="preserve"> </w:t>
      </w:r>
      <w:r>
        <w:rPr>
          <w:b/>
          <w:bCs/>
        </w:rPr>
        <w:t xml:space="preserve">Genome</w:t>
      </w:r>
      <w:r>
        <w:t xml:space="preserve"> </w:t>
      </w:r>
      <w:r>
        <w:t xml:space="preserve">links. A</w:t>
      </w:r>
      <w:r>
        <w:t xml:space="preserve"> </w:t>
      </w:r>
      <w:r>
        <w:rPr>
          <w:i/>
          <w:iCs/>
        </w:rPr>
        <w:t xml:space="preserve">Classroom Quest</w:t>
      </w:r>
      <w:r>
        <w:t xml:space="preserve"> </w:t>
      </w:r>
      <w:r>
        <w:t xml:space="preserve">page appears under the</w:t>
      </w:r>
      <w:r>
        <w:t xml:space="preserve"> </w:t>
      </w:r>
      <w:r>
        <w:rPr>
          <w:i/>
          <w:iCs/>
        </w:rPr>
        <w:t xml:space="preserve">School</w:t>
      </w:r>
      <w:r>
        <w:t xml:space="preserve"> </w:t>
      </w:r>
      <w:r>
        <w:t xml:space="preserve">icon in the visual UI (it promotes pattern literacy and teamwork), but it is not accessible via a static URL or the text‑based browser, making it hard to cite directly. This suggests that the</w:t>
      </w:r>
      <w:r>
        <w:t xml:space="preserve"> </w:t>
      </w:r>
      <w:r>
        <w:rPr>
          <w:b/>
          <w:bCs/>
        </w:rPr>
        <w:t xml:space="preserve">professional version</w:t>
      </w:r>
      <w:r>
        <w:t xml:space="preserve"> </w:t>
      </w:r>
      <w:r>
        <w:t xml:space="preserve">of the education app either has not been published, is restricted, or the link provided was incorrect. Without access, any claims about its features would be speculative.</w:t>
      </w:r>
    </w:p>
    <w:bookmarkEnd w:id="26"/>
    <w:bookmarkEnd w:id="27"/>
    <w:bookmarkStart w:id="32" w:name="X4957805d5c17082176fa363b3444f32f8a00e53"/>
    <w:p>
      <w:pPr>
        <w:pStyle w:val="Heading2"/>
      </w:pPr>
      <w:r>
        <w:t xml:space="preserve">Educational value and alignment with research</w:t>
      </w:r>
    </w:p>
    <w:p>
      <w:pPr>
        <w:pStyle w:val="FirstParagraph"/>
      </w:pPr>
      <w:r>
        <w:t xml:space="preserve">Research on</w:t>
      </w:r>
      <w:r>
        <w:t xml:space="preserve"> </w:t>
      </w:r>
      <w:r>
        <w:rPr>
          <w:b/>
          <w:bCs/>
        </w:rPr>
        <w:t xml:space="preserve">pet‑like learning companions</w:t>
      </w:r>
      <w:r>
        <w:t xml:space="preserve"> </w:t>
      </w:r>
      <w:r>
        <w:t xml:space="preserve">emphasises that adding pet characteristics (appearance, owner‑pet relationships and emotional support) to digital learning companions can strengthen student engagement and benefit learning in social, cognitive and affective domains</w:t>
      </w:r>
      <w:hyperlink r:id="rId28">
        <w:r>
          <w:rPr>
            <w:rStyle w:val="Hyperlink"/>
          </w:rPr>
          <w:t xml:space="preserve">[6]</w:t>
        </w:r>
      </w:hyperlink>
      <w:r>
        <w:t xml:space="preserve">. A pilot study on the</w:t>
      </w:r>
      <w:r>
        <w:t xml:space="preserve"> </w:t>
      </w:r>
      <w:r>
        <w:rPr>
          <w:i/>
          <w:iCs/>
        </w:rPr>
        <w:t xml:space="preserve">My‑Mini‑Pet</w:t>
      </w:r>
      <w:r>
        <w:t xml:space="preserve"> </w:t>
      </w:r>
      <w:r>
        <w:t xml:space="preserve">handheld game found that nurturing a virtual pet, changing its appearance based on student performance and linking pet feedback to student behaviour motivated learners, acted as a reflector of learning status and facilitated learning</w:t>
      </w:r>
      <w:hyperlink r:id="rId29">
        <w:r>
          <w:rPr>
            <w:rStyle w:val="Hyperlink"/>
          </w:rPr>
          <w:t xml:space="preserve">[7]</w:t>
        </w:r>
      </w:hyperlink>
      <w:r>
        <w:t xml:space="preserve">. Students reported increased engagement and peer discussions</w:t>
      </w:r>
      <w:hyperlink r:id="rId30">
        <w:r>
          <w:rPr>
            <w:rStyle w:val="Hyperlink"/>
          </w:rPr>
          <w:t xml:space="preserve">[8]</w:t>
        </w:r>
      </w:hyperlink>
      <w:r>
        <w:t xml:space="preserve">. The</w:t>
      </w:r>
      <w:r>
        <w:t xml:space="preserve"> </w:t>
      </w:r>
      <w:r>
        <w:rPr>
          <w:b/>
          <w:bCs/>
        </w:rPr>
        <w:t xml:space="preserve">Meta‑Pet</w:t>
      </w:r>
      <w:r>
        <w:t xml:space="preserve"> </w:t>
      </w:r>
      <w:r>
        <w:t xml:space="preserve">platform appears to draw on similar gamification principles—using pet care, stats and a genome system to encourage regular interactions.</w:t>
      </w:r>
    </w:p>
    <w:p>
      <w:pPr>
        <w:pStyle w:val="BodyText"/>
      </w:pPr>
      <w:r>
        <w:t xml:space="preserve">However, research also cautions that many commercial games prioritise entertainment over educational outcomes</w:t>
      </w:r>
      <w:hyperlink r:id="rId31">
        <w:r>
          <w:rPr>
            <w:rStyle w:val="Hyperlink"/>
          </w:rPr>
          <w:t xml:space="preserve">[9]</w:t>
        </w:r>
      </w:hyperlink>
      <w:r>
        <w:t xml:space="preserve">. The</w:t>
      </w:r>
      <w:r>
        <w:t xml:space="preserve"> </w:t>
      </w:r>
      <w:r>
        <w:rPr>
          <w:i/>
          <w:iCs/>
        </w:rPr>
        <w:t xml:space="preserve">My‑Mini‑Pet</w:t>
      </w:r>
      <w:r>
        <w:t xml:space="preserve"> </w:t>
      </w:r>
      <w:r>
        <w:t xml:space="preserve">study incorporated arithmetic practice into the game and measured learning outcomes</w:t>
      </w:r>
      <w:hyperlink r:id="rId29">
        <w:r>
          <w:rPr>
            <w:rStyle w:val="Hyperlink"/>
          </w:rPr>
          <w:t xml:space="preserve">[10]</w:t>
        </w:r>
      </w:hyperlink>
      <w:r>
        <w:t xml:space="preserve">; the</w:t>
      </w:r>
      <w:r>
        <w:t xml:space="preserve"> </w:t>
      </w:r>
      <w:r>
        <w:rPr>
          <w:b/>
          <w:bCs/>
        </w:rPr>
        <w:t xml:space="preserve">Meta‑Pet</w:t>
      </w:r>
      <w:r>
        <w:t xml:space="preserve"> </w:t>
      </w:r>
      <w:r>
        <w:t xml:space="preserve">site does not openly disclose any subject‑specific curriculum or learning objectives. The “hunger,” “hygiene” and “mood” metrics, while charming, do not inherently teach academic content; without structured tasks, they risk becoming pure distraction. Similarly, the</w:t>
      </w:r>
      <w:r>
        <w:t xml:space="preserve"> </w:t>
      </w:r>
      <w:r>
        <w:rPr>
          <w:b/>
          <w:bCs/>
        </w:rPr>
        <w:t xml:space="preserve">Genome Explorer</w:t>
      </w:r>
      <w:r>
        <w:t xml:space="preserve"> </w:t>
      </w:r>
      <w:r>
        <w:t xml:space="preserve">is presented as a palindromic wheel with prime numbers and harmonic statistics</w:t>
      </w:r>
      <w:hyperlink r:id="rId23">
        <w:r>
          <w:rPr>
            <w:rStyle w:val="Hyperlink"/>
          </w:rPr>
          <w:t xml:space="preserve">[3]</w:t>
        </w:r>
      </w:hyperlink>
      <w:r>
        <w:t xml:space="preserve">. There is no clear explanation of how those numbers relate to learning outcomes or scientific concepts, making it more of a fantasy mechanic than a biology lesson.</w:t>
      </w:r>
    </w:p>
    <w:bookmarkEnd w:id="32"/>
    <w:bookmarkStart w:id="34" w:name="data-and-privacy-considerations"/>
    <w:p>
      <w:pPr>
        <w:pStyle w:val="Heading2"/>
      </w:pPr>
      <w:r>
        <w:t xml:space="preserve">Data and privacy considerations</w:t>
      </w:r>
    </w:p>
    <w:p>
      <w:pPr>
        <w:pStyle w:val="FirstParagraph"/>
      </w:pPr>
      <w:r>
        <w:t xml:space="preserve">The</w:t>
      </w:r>
      <w:r>
        <w:t xml:space="preserve"> </w:t>
      </w:r>
      <w:r>
        <w:rPr>
          <w:b/>
          <w:bCs/>
        </w:rPr>
        <w:t xml:space="preserve">Identity Vault</w:t>
      </w:r>
      <w:r>
        <w:t xml:space="preserve"> </w:t>
      </w:r>
      <w:r>
        <w:t xml:space="preserve">emphasises that emails and usernames are stored locally and not transmitted</w:t>
      </w:r>
      <w:hyperlink r:id="rId33">
        <w:r>
          <w:rPr>
            <w:rStyle w:val="Hyperlink"/>
          </w:rPr>
          <w:t xml:space="preserve">[11]</w:t>
        </w:r>
      </w:hyperlink>
      <w:r>
        <w:t xml:space="preserve">. This is a good privacy practice, but the site does not provide information on data protection standards or how game data is processed. Without terms of service or privacy policy, schools should be cautious before using it with students. The copyright notice clarifies that the “Jewble” brand remains the property of</w:t>
      </w:r>
      <w:r>
        <w:t xml:space="preserve"> </w:t>
      </w:r>
      <w:r>
        <w:rPr>
          <w:b/>
          <w:bCs/>
        </w:rPr>
        <w:t xml:space="preserve">Blue Snake Studios</w:t>
      </w:r>
      <w:r>
        <w:t xml:space="preserve"> </w:t>
      </w:r>
      <w:r>
        <w:t xml:space="preserve">and that schools receive only a limited licence</w:t>
      </w:r>
      <w:hyperlink r:id="rId25">
        <w:r>
          <w:rPr>
            <w:rStyle w:val="Hyperlink"/>
          </w:rPr>
          <w:t xml:space="preserve">[5]</w:t>
        </w:r>
      </w:hyperlink>
      <w:r>
        <w:t xml:space="preserve">. Educators should ensure that such licences comply with local regulations on educational software.</w:t>
      </w:r>
    </w:p>
    <w:bookmarkEnd w:id="34"/>
    <w:bookmarkStart w:id="35" w:name="pros-and-cons"/>
    <w:p>
      <w:pPr>
        <w:pStyle w:val="Heading2"/>
      </w:pPr>
      <w:r>
        <w:t xml:space="preserve">Pros and cons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Potential benefits</w:t>
            </w:r>
          </w:p>
        </w:tc>
        <w:tc>
          <w:tcPr/>
          <w:p>
            <w:pPr>
              <w:pStyle w:val="Compact"/>
            </w:pPr>
            <w:r>
              <w:t xml:space="preserve">Possible concerns</w:t>
            </w:r>
          </w:p>
        </w:tc>
      </w:tr>
      <w:tr>
        <w:tc>
          <w:tcPr/>
          <w:p>
            <w:pPr>
              <w:pStyle w:val="Compact"/>
            </w:pPr>
            <w:r>
              <w:rPr>
                <w:b/>
                <w:bCs/>
              </w:rPr>
              <w:t xml:space="preserve">Gamified engagement</w:t>
            </w:r>
          </w:p>
        </w:tc>
        <w:tc>
          <w:tcPr/>
          <w:p>
            <w:pPr>
              <w:pStyle w:val="Compact"/>
            </w:pPr>
            <w:r>
              <w:t xml:space="preserve">The pet‑nurturing and genome mechanics can motivate students to log in regularly, mirroring findings that virtual pets can sustain learner interest and encourage social interaction</w:t>
            </w:r>
            <w:hyperlink r:id="rId29">
              <w:r>
                <w:rPr>
                  <w:rStyle w:val="Hyperlink"/>
                </w:rPr>
                <w:t xml:space="preserve">[7]</w:t>
              </w:r>
            </w:hyperlink>
            <w:r>
              <w:t xml:space="preserve">.</w:t>
            </w:r>
          </w:p>
        </w:tc>
        <w:tc>
          <w:tcPr/>
          <w:p>
            <w:pPr>
              <w:pStyle w:val="Compact"/>
            </w:pPr>
            <w:r>
              <w:t xml:space="preserve">The site lacks explicit curricular integration; the entertainment focus may detract from academic learning if not paired with substantive content.</w:t>
            </w:r>
            <w:hyperlink r:id="rId31">
              <w:r>
                <w:rPr>
                  <w:rStyle w:val="Hyperlink"/>
                </w:rPr>
                <w:t xml:space="preserve">[9]</w:t>
              </w:r>
            </w:hyperlink>
          </w:p>
        </w:tc>
      </w:tr>
      <w:tr>
        <w:tc>
          <w:tcPr/>
          <w:p>
            <w:pPr>
              <w:pStyle w:val="Compact"/>
            </w:pPr>
            <w:r>
              <w:rPr>
                <w:b/>
                <w:bCs/>
              </w:rPr>
              <w:t xml:space="preserve">Emotional connection</w:t>
            </w:r>
          </w:p>
        </w:tc>
        <w:tc>
          <w:tcPr/>
          <w:p>
            <w:pPr>
              <w:pStyle w:val="Compact"/>
            </w:pPr>
            <w:r>
              <w:t xml:space="preserve">Research notes that pet‑like learning companions foster a pet‑owner relationship that can support affective learning</w:t>
            </w:r>
            <w:hyperlink r:id="rId28">
              <w:r>
                <w:rPr>
                  <w:rStyle w:val="Hyperlink"/>
                </w:rPr>
                <w:t xml:space="preserve">[6]</w:t>
              </w:r>
            </w:hyperlink>
            <w:r>
              <w:t xml:space="preserve">.</w:t>
            </w:r>
          </w:p>
        </w:tc>
        <w:tc>
          <w:tcPr/>
          <w:p>
            <w:pPr>
              <w:pStyle w:val="Compact"/>
            </w:pPr>
            <w:r>
              <w:t xml:space="preserve">Without clear educational goals, emotional attachment might be leveraged mainly to drive user engagement, not learning.</w:t>
            </w:r>
          </w:p>
        </w:tc>
      </w:tr>
      <w:tr>
        <w:tc>
          <w:tcPr/>
          <w:p>
            <w:pPr>
              <w:pStyle w:val="Compact"/>
            </w:pPr>
            <w:r>
              <w:rPr>
                <w:b/>
                <w:bCs/>
              </w:rPr>
              <w:t xml:space="preserve">Identity and privacy</w:t>
            </w:r>
          </w:p>
        </w:tc>
        <w:tc>
          <w:tcPr/>
          <w:p>
            <w:pPr>
              <w:pStyle w:val="Compact"/>
            </w:pPr>
            <w:r>
              <w:t xml:space="preserve">Local storage of contact details reduces data transmission</w:t>
            </w:r>
            <w:hyperlink r:id="rId33">
              <w:r>
                <w:rPr>
                  <w:rStyle w:val="Hyperlink"/>
                </w:rPr>
                <w:t xml:space="preserve">[11]</w:t>
              </w:r>
            </w:hyperlink>
            <w:r>
              <w:t xml:space="preserve">.</w:t>
            </w:r>
          </w:p>
        </w:tc>
        <w:tc>
          <w:tcPr/>
          <w:p>
            <w:pPr>
              <w:pStyle w:val="Compact"/>
            </w:pPr>
            <w:r>
              <w:t xml:space="preserve">No visible privacy policy or terms of service; unclear how other game data or analytics are used.</w:t>
            </w:r>
          </w:p>
        </w:tc>
      </w:tr>
      <w:tr>
        <w:tc>
          <w:tcPr/>
          <w:p>
            <w:pPr>
              <w:pStyle w:val="Compact"/>
            </w:pPr>
            <w:r>
              <w:rPr>
                <w:b/>
                <w:bCs/>
              </w:rPr>
              <w:t xml:space="preserve">Innovation</w:t>
            </w:r>
          </w:p>
        </w:tc>
        <w:tc>
          <w:tcPr/>
          <w:p>
            <w:pPr>
              <w:pStyle w:val="Compact"/>
            </w:pPr>
            <w:r>
              <w:t xml:space="preserve">The genome explorer and palindromic wheel show creative thinking and could inspire curiosity about genetics and mathematics</w:t>
            </w:r>
            <w:hyperlink r:id="rId23">
              <w:r>
                <w:rPr>
                  <w:rStyle w:val="Hyperlink"/>
                </w:rPr>
                <w:t xml:space="preserve">[3]</w:t>
              </w:r>
            </w:hyperlink>
            <w:r>
              <w:t xml:space="preserve">.</w:t>
            </w:r>
          </w:p>
        </w:tc>
        <w:tc>
          <w:tcPr/>
          <w:p>
            <w:pPr>
              <w:pStyle w:val="Compact"/>
            </w:pPr>
            <w:r>
              <w:t xml:space="preserve">The presentation is highly abstract and may confuse learners if not backed by real science. Teachers might need to provide context or avoid misinterpretation.</w:t>
            </w:r>
          </w:p>
        </w:tc>
      </w:tr>
    </w:tbl>
    <w:bookmarkEnd w:id="35"/>
    <w:bookmarkStart w:id="36" w:name="verdict"/>
    <w:p>
      <w:pPr>
        <w:pStyle w:val="Heading2"/>
      </w:pPr>
      <w:r>
        <w:t xml:space="preserve">Verdict</w:t>
      </w:r>
    </w:p>
    <w:p>
      <w:pPr>
        <w:pStyle w:val="FirstParagraph"/>
      </w:pPr>
      <w:r>
        <w:t xml:space="preserve">As it stands,</w:t>
      </w:r>
      <w:r>
        <w:t xml:space="preserve"> </w:t>
      </w:r>
      <w:r>
        <w:rPr>
          <w:b/>
          <w:bCs/>
        </w:rPr>
        <w:t xml:space="preserve">Meta‑Pet</w:t>
      </w:r>
      <w:r>
        <w:t xml:space="preserve"> </w:t>
      </w:r>
      <w:r>
        <w:t xml:space="preserve">feels like a</w:t>
      </w:r>
      <w:r>
        <w:t xml:space="preserve"> </w:t>
      </w:r>
      <w:r>
        <w:rPr>
          <w:b/>
          <w:bCs/>
        </w:rPr>
        <w:t xml:space="preserve">conceptual prototype</w:t>
      </w:r>
      <w:r>
        <w:t xml:space="preserve"> </w:t>
      </w:r>
      <w:r>
        <w:t xml:space="preserve">rather than a fully fledged educational app. It uses</w:t>
      </w:r>
      <w:r>
        <w:t xml:space="preserve"> </w:t>
      </w:r>
      <w:r>
        <w:rPr>
          <w:b/>
          <w:bCs/>
        </w:rPr>
        <w:t xml:space="preserve">pet‑nurturing</w:t>
      </w:r>
      <w:r>
        <w:t xml:space="preserve"> </w:t>
      </w:r>
      <w:r>
        <w:t xml:space="preserve">and</w:t>
      </w:r>
      <w:r>
        <w:t xml:space="preserve"> </w:t>
      </w:r>
      <w:r>
        <w:rPr>
          <w:b/>
          <w:bCs/>
        </w:rPr>
        <w:t xml:space="preserve">gamification</w:t>
      </w:r>
      <w:r>
        <w:t xml:space="preserve"> </w:t>
      </w:r>
      <w:r>
        <w:t xml:space="preserve">strategies that research has shown can motivate learners</w:t>
      </w:r>
      <w:hyperlink r:id="rId29">
        <w:r>
          <w:rPr>
            <w:rStyle w:val="Hyperlink"/>
          </w:rPr>
          <w:t xml:space="preserve">[7]</w:t>
        </w:r>
      </w:hyperlink>
      <w:r>
        <w:t xml:space="preserve">, but it currently lacks explicit curricular content and robust privacy documentation. The URL provided for “your education app – professional” does not lead to a working page, and there is no clear indication of a professional version. Schools or individuals seeking serious educational tools should approach this with caution, treating it as a playful supplement rather than a core learning resource. If</w:t>
      </w:r>
      <w:r>
        <w:t xml:space="preserve"> </w:t>
      </w:r>
      <w:r>
        <w:rPr>
          <w:b/>
          <w:bCs/>
        </w:rPr>
        <w:t xml:space="preserve">Blue Snake Studios</w:t>
      </w:r>
      <w:r>
        <w:t xml:space="preserve"> </w:t>
      </w:r>
      <w:r>
        <w:t xml:space="preserve">develops a professional version in the future, it would need to clearly articulate learning outcomes, align activities with curriculum standards and provide transparent data practices to be suitable for classroom use.</w:t>
      </w:r>
    </w:p>
    <w:bookmarkEnd w:id="36"/>
    <w:bookmarkStart w:id="37" w:name="visual-impression"/>
    <w:p>
      <w:pPr>
        <w:pStyle w:val="Heading2"/>
      </w:pPr>
      <w:r>
        <w:t xml:space="preserve">Visual impression</w:t>
      </w:r>
    </w:p>
    <w:p>
      <w:pPr>
        <w:pStyle w:val="FirstParagraph"/>
      </w:pPr>
      <w:r>
        <w:t xml:space="preserve">The artwork below captures the feel of Meta‑Pet’s cockatoo flying through a vibrant mandala—evoking the blend of playfulness and technology in the current app.</w:t>
      </w:r>
    </w:p>
    <w:bookmarkEnd w:id="37"/>
    <w:bookmarkEnd w:id="38"/>
    <w:bookmarkEnd w:id="39"/>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33">
        <w:r>
          <w:rPr>
            <w:rStyle w:val="Hyperlink"/>
          </w:rPr>
          <w:t xml:space="preserve">[11]</w:t>
        </w:r>
      </w:hyperlink>
      <w:r>
        <w:t xml:space="preserve"> </w:t>
      </w:r>
      <w:r>
        <w:t xml:space="preserve">Meta-Pet</w:t>
      </w:r>
    </w:p>
    <w:p>
      <w:pPr>
        <w:pStyle w:val="BodyText"/>
      </w:pPr>
      <w:hyperlink r:id="rId40">
        <w:r>
          <w:rPr>
            <w:rStyle w:val="Hyperlink"/>
          </w:rPr>
          <w:t xml:space="preserve">https://themossman.netlify.app/identity</w:t>
        </w:r>
      </w:hyperlink>
    </w:p>
    <w:p>
      <w:pPr>
        <w:pStyle w:val="BodyText"/>
      </w:pPr>
      <w:hyperlink r:id="rId22">
        <w:r>
          <w:rPr>
            <w:rStyle w:val="Hyperlink"/>
          </w:rPr>
          <w:t xml:space="preserve">[2]</w:t>
        </w:r>
      </w:hyperlink>
      <w:r>
        <w:t xml:space="preserve"> </w:t>
      </w:r>
      <w:r>
        <w:t xml:space="preserve">Meta-Pet</w:t>
      </w:r>
    </w:p>
    <w:p>
      <w:pPr>
        <w:pStyle w:val="BodyText"/>
      </w:pPr>
      <w:hyperlink r:id="rId41">
        <w:r>
          <w:rPr>
            <w:rStyle w:val="Hyperlink"/>
          </w:rPr>
          <w:t xml:space="preserve">https://themossman.netlify.app/pet</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Meta-Pet</w:t>
      </w:r>
    </w:p>
    <w:p>
      <w:pPr>
        <w:pStyle w:val="BodyText"/>
      </w:pPr>
      <w:hyperlink r:id="rId42">
        <w:r>
          <w:rPr>
            <w:rStyle w:val="Hyperlink"/>
          </w:rPr>
          <w:t xml:space="preserve">https://themossman.netlify.app/genome-explorer</w:t>
        </w:r>
      </w:hyperlink>
    </w:p>
    <w:p>
      <w:pPr>
        <w:pStyle w:val="BodyText"/>
      </w:pPr>
      <w:hyperlink r:id="rId28">
        <w:r>
          <w:rPr>
            <w:rStyle w:val="Hyperlink"/>
          </w:rPr>
          <w:t xml:space="preserve">[6]</w:t>
        </w:r>
      </w:hyperlink>
      <w:r>
        <w:t xml:space="preserve"> </w:t>
      </w:r>
      <w:r>
        <w:t xml:space="preserve">(PDF) Pet-like learning companions: past research and future directions</w:t>
      </w:r>
    </w:p>
    <w:p>
      <w:pPr>
        <w:pStyle w:val="BodyText"/>
      </w:pPr>
      <w:hyperlink r:id="rId43">
        <w:r>
          <w:rPr>
            <w:rStyle w:val="Hyperlink"/>
          </w:rPr>
          <w:t xml:space="preserve">https://www.researchgate.net/publication/385742176_Pet-like_learning_companions_past_research_and_future_directions</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29">
        <w:r>
          <w:rPr>
            <w:rStyle w:val="Hyperlink"/>
          </w:rPr>
          <w:t xml:space="preserve">[10]</w:t>
        </w:r>
      </w:hyperlink>
      <w:r>
        <w:t xml:space="preserve"> </w:t>
      </w:r>
      <w:r>
        <w:t xml:space="preserve">My-Mini-Pet: A handheld pet-nurturing game to engage students in arithmetic practices | Request PDF</w:t>
      </w:r>
    </w:p>
    <w:p>
      <w:pPr>
        <w:pStyle w:val="BodyText"/>
      </w:pPr>
      <w:hyperlink r:id="rId29">
        <w:r>
          <w:rPr>
            <w:rStyle w:val="Hyperlink"/>
          </w:rPr>
          <w:t xml:space="preserve">https://www.researchgate.net/publication/220663406_My-Mini-Pet_A_handheld_pet-nurturing_game_to_engage_students_in_arithmetic_practices</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themossman.netlify.app/genome-explorer" TargetMode="External" /><Relationship Type="http://schemas.openxmlformats.org/officeDocument/2006/relationships/hyperlink" Id="rId24" Target="https://themossman.netlify.app/genome-explorer#:~:text=%C2%A9%202026%20Blue%20Snake%20Studios,use" TargetMode="External" /><Relationship Type="http://schemas.openxmlformats.org/officeDocument/2006/relationships/hyperlink" Id="rId23" Target="https://themossman.netlify.app/genome-explorer#:~:text=META" TargetMode="External" /><Relationship Type="http://schemas.openxmlformats.org/officeDocument/2006/relationships/hyperlink" Id="rId40" Target="https://themossman.netlify.app/identity" TargetMode="External" /><Relationship Type="http://schemas.openxmlformats.org/officeDocument/2006/relationships/hyperlink" Id="rId25" Target="https://themossman.netlify.app/identity#:~:text=%C2%A9%202026%20Blue%20Snake%20Studios,use%20license" TargetMode="External" /><Relationship Type="http://schemas.openxmlformats.org/officeDocument/2006/relationships/hyperlink" Id="rId33" Target="https://themossman.netlify.app/identity#:~:text=Email" TargetMode="External" /><Relationship Type="http://schemas.openxmlformats.org/officeDocument/2006/relationships/hyperlink" Id="rId21" Target="https://themossman.netlify.app/identity#:~:text=Identity%20Vault" TargetMode="External" /><Relationship Type="http://schemas.openxmlformats.org/officeDocument/2006/relationships/hyperlink" Id="rId41" Target="https://themossman.netlify.app/pet" TargetMode="External" /><Relationship Type="http://schemas.openxmlformats.org/officeDocument/2006/relationships/hyperlink" Id="rId22" Target="https://themossman.netlify.app/pet#:~:text=The%20Celestial%20Flight" TargetMode="External" /><Relationship Type="http://schemas.openxmlformats.org/officeDocument/2006/relationships/hyperlink" Id="rId29" Target="https://www.researchgate.net/publication/220663406_My-Mini-Pet_A_handheld_pet-nurturing_game_to_engage_students_in_arithmetic_practices" TargetMode="External" /><Relationship Type="http://schemas.openxmlformats.org/officeDocument/2006/relationships/hyperlink" Id="rId31" Target="https://www.researchgate.net/publication/220663406_My-Mini-Pet_A_handheld_pet-nurturing_game_to_engage_students_in_arithmetic_practices#:~:text=Abstract%20In%20the%20last%20decade%2C,nurturing%20game" TargetMode="External" /><Relationship Type="http://schemas.openxmlformats.org/officeDocument/2006/relationships/hyperlink" Id="rId30" Target="https://www.researchgate.net/publication/220663406_My-Mini-Pet_A_handheld_pet-nurturing_game_to_engage_students_in_arithmetic_practices#:~:text=results%20showed%20that%20the%20strategy,Some%20implications%20about%20the" TargetMode="External" /><Relationship Type="http://schemas.openxmlformats.org/officeDocument/2006/relationships/hyperlink" Id="rId43" Target="https://www.researchgate.net/publication/385742176_Pet-like_learning_companions_past_research_and_future_directions" TargetMode="External" /><Relationship Type="http://schemas.openxmlformats.org/officeDocument/2006/relationships/hyperlink" Id="rId28" Target="https://www.researchgate.net/publication/385742176_Pet-like_learning_companions_past_research_and_future_directions#:~:text=The%20objective%20of%20this%20paper,to%20realizing%20the%20goal%20are" TargetMode="External" /></Relationships>
</file>

<file path=word/_rels/footnotes.xml.rels><?xml version="1.0" encoding="UTF-8"?><Relationships xmlns="http://schemas.openxmlformats.org/package/2006/relationships"><Relationship Type="http://schemas.openxmlformats.org/officeDocument/2006/relationships/hyperlink" Id="rId42" Target="https://themossman.netlify.app/genome-explorer" TargetMode="External" /><Relationship Type="http://schemas.openxmlformats.org/officeDocument/2006/relationships/hyperlink" Id="rId24" Target="https://themossman.netlify.app/genome-explorer#:~:text=%C2%A9%202026%20Blue%20Snake%20Studios,use" TargetMode="External" /><Relationship Type="http://schemas.openxmlformats.org/officeDocument/2006/relationships/hyperlink" Id="rId23" Target="https://themossman.netlify.app/genome-explorer#:~:text=META" TargetMode="External" /><Relationship Type="http://schemas.openxmlformats.org/officeDocument/2006/relationships/hyperlink" Id="rId40" Target="https://themossman.netlify.app/identity" TargetMode="External" /><Relationship Type="http://schemas.openxmlformats.org/officeDocument/2006/relationships/hyperlink" Id="rId25" Target="https://themossman.netlify.app/identity#:~:text=%C2%A9%202026%20Blue%20Snake%20Studios,use%20license" TargetMode="External" /><Relationship Type="http://schemas.openxmlformats.org/officeDocument/2006/relationships/hyperlink" Id="rId33" Target="https://themossman.netlify.app/identity#:~:text=Email" TargetMode="External" /><Relationship Type="http://schemas.openxmlformats.org/officeDocument/2006/relationships/hyperlink" Id="rId21" Target="https://themossman.netlify.app/identity#:~:text=Identity%20Vault" TargetMode="External" /><Relationship Type="http://schemas.openxmlformats.org/officeDocument/2006/relationships/hyperlink" Id="rId41" Target="https://themossman.netlify.app/pet" TargetMode="External" /><Relationship Type="http://schemas.openxmlformats.org/officeDocument/2006/relationships/hyperlink" Id="rId22" Target="https://themossman.netlify.app/pet#:~:text=The%20Celestial%20Flight" TargetMode="External" /><Relationship Type="http://schemas.openxmlformats.org/officeDocument/2006/relationships/hyperlink" Id="rId29" Target="https://www.researchgate.net/publication/220663406_My-Mini-Pet_A_handheld_pet-nurturing_game_to_engage_students_in_arithmetic_practices" TargetMode="External" /><Relationship Type="http://schemas.openxmlformats.org/officeDocument/2006/relationships/hyperlink" Id="rId31" Target="https://www.researchgate.net/publication/220663406_My-Mini-Pet_A_handheld_pet-nurturing_game_to_engage_students_in_arithmetic_practices#:~:text=Abstract%20In%20the%20last%20decade%2C,nurturing%20game" TargetMode="External" /><Relationship Type="http://schemas.openxmlformats.org/officeDocument/2006/relationships/hyperlink" Id="rId30" Target="https://www.researchgate.net/publication/220663406_My-Mini-Pet_A_handheld_pet-nurturing_game_to_engage_students_in_arithmetic_practices#:~:text=results%20showed%20that%20the%20strategy,Some%20implications%20about%20the" TargetMode="External" /><Relationship Type="http://schemas.openxmlformats.org/officeDocument/2006/relationships/hyperlink" Id="rId43" Target="https://www.researchgate.net/publication/385742176_Pet-like_learning_companions_past_research_and_future_directions" TargetMode="External" /><Relationship Type="http://schemas.openxmlformats.org/officeDocument/2006/relationships/hyperlink" Id="rId28" Target="https://www.researchgate.net/publication/385742176_Pet-like_learning_companions_past_research_and_future_directions#:~:text=The%20objective%20of%20this%20paper,to%20realizing%20the%20goal%20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2026-02-14T10:22:13Z</dcterms:created>
  <dcterms:modified xsi:type="dcterms:W3CDTF">2026-02-14T10:22:13Z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