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32"/>
          <w:shd w:fill="auto" w:val="clear"/>
        </w:rPr>
        <w:t xml:space="preserve">Controls assessment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0"/>
        <w:gridCol w:w="915"/>
        <w:gridCol w:w="7545"/>
      </w:tblGrid>
      <w:tr>
        <w:trPr>
          <w:trHeight w:val="300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Google Sans" w:hAnsi="Google Sans" w:cs="Google Sans" w:eastAsia="Google Sans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Google Sans" w:hAnsi="Google Sans" w:cs="Google Sans" w:eastAsia="Google Sans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</w:tr>
      <w:tr>
        <w:trPr>
          <w:trHeight w:val="330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software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 for legacy systems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</w:tc>
      </w:tr>
      <w:tr>
        <w:trPr>
          <w:trHeight w:val="255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 (offices, storefront, warehouse)</w:t>
            </w: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detection/prevention (fire alarm, sprinkler system,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32"/>
          <w:shd w:fill="auto" w:val="clear"/>
        </w:rPr>
        <w:t xml:space="preserve">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Google Sans" w:hAnsi="Google Sans" w:cs="Google Sans" w:eastAsia="Google Sans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authorized users have access to customers’ credit card information. 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trHeight w:val="510" w:hRule="auto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data encryption procedures to better secure credit card transaction touchpoints and data.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Adopt secure password management policies.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u w:val="single"/>
          <w:shd w:fill="auto" w:val="clear"/>
        </w:rPr>
        <w:t xml:space="preserve">General Data Protection Regulation (GDPR)</w:t>
      </w:r>
    </w:p>
    <w:tbl>
      <w:tblPr/>
      <w:tblGrid>
        <w:gridCol w:w="900"/>
        <w:gridCol w:w="945"/>
        <w:gridCol w:w="751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Google Sans" w:hAnsi="Google Sans" w:cs="Google Sans" w:eastAsia="Google Sans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E.U. customers’ data is kept private/secured.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data is properly classified and inventoried.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 privacy policies, procedures, and processes to properly document and maintain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930"/>
        <w:gridCol w:w="915"/>
        <w:gridCol w:w="7515"/>
      </w:tblGrid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Google Sans" w:hAnsi="Google Sans" w:cs="Google Sans" w:eastAsia="Google Sans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access policies are established.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Sensitive data (PII/SPII) is confidential/private.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integrity ensures the data is consistent, complete, accurate, and has been validated.</w:t>
            </w:r>
          </w:p>
        </w:tc>
      </w:tr>
      <w:tr>
        <w:trPr>
          <w:trHeight w:val="1" w:hRule="atLeast"/>
          <w:jc w:val="left"/>
        </w:trPr>
        <w:tc>
          <w:tcPr>
            <w:tcW w:w="93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available to individuals authorized to access it.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8">
    <w:abstractNumId w:val="150"/>
  </w:num>
  <w:num w:numId="13">
    <w:abstractNumId w:val="144"/>
  </w:num>
  <w:num w:numId="17">
    <w:abstractNumId w:val="138"/>
  </w:num>
  <w:num w:numId="22">
    <w:abstractNumId w:val="132"/>
  </w:num>
  <w:num w:numId="28">
    <w:abstractNumId w:val="126"/>
  </w:num>
  <w:num w:numId="31">
    <w:abstractNumId w:val="120"/>
  </w:num>
  <w:num w:numId="35">
    <w:abstractNumId w:val="114"/>
  </w:num>
  <w:num w:numId="40">
    <w:abstractNumId w:val="108"/>
  </w:num>
  <w:num w:numId="44">
    <w:abstractNumId w:val="102"/>
  </w:num>
  <w:num w:numId="47">
    <w:abstractNumId w:val="96"/>
  </w:num>
  <w:num w:numId="52">
    <w:abstractNumId w:val="90"/>
  </w:num>
  <w:num w:numId="58">
    <w:abstractNumId w:val="84"/>
  </w:num>
  <w:num w:numId="62">
    <w:abstractNumId w:val="78"/>
  </w:num>
  <w:num w:numId="67">
    <w:abstractNumId w:val="72"/>
  </w:num>
  <w:num w:numId="78">
    <w:abstractNumId w:val="66"/>
  </w:num>
  <w:num w:numId="82">
    <w:abstractNumId w:val="60"/>
  </w:num>
  <w:num w:numId="87">
    <w:abstractNumId w:val="54"/>
  </w:num>
  <w:num w:numId="92">
    <w:abstractNumId w:val="48"/>
  </w:num>
  <w:num w:numId="104">
    <w:abstractNumId w:val="42"/>
  </w:num>
  <w:num w:numId="109">
    <w:abstractNumId w:val="36"/>
  </w:num>
  <w:num w:numId="112">
    <w:abstractNumId w:val="30"/>
  </w:num>
  <w:num w:numId="117">
    <w:abstractNumId w:val="24"/>
  </w:num>
  <w:num w:numId="128">
    <w:abstractNumId w:val="18"/>
  </w:num>
  <w:num w:numId="132">
    <w:abstractNumId w:val="12"/>
  </w:num>
  <w:num w:numId="137">
    <w:abstractNumId w:val="6"/>
  </w:num>
  <w:num w:numId="1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