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Kanokphan Sirithienthong</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 6610750092</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 exhibits a GDP per capita below USD 700, reflecting its chronically low national saving ratio (s) and, by extension, limited scope for the capital accumulation that Harrod-Domar deems essential for sustained GDP growth (ΔY/Y = s/k). Its export revenues are overwhelmingly tied to crude oil, over 80 percent of export earnings, and thus subject to sharp swings in world oil prices, which in turn destabilize Chad’s terms of trade and undermine the structural change needed to diversify into manufacturing or services.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Nepal remains an agriculture-based economy whose merchandise exports are narrowly concentrated in a handful of primary commodities (tea, cardamom, pulses) and low-value textiles, making its trade earnings acutely vulnerable to shifts in global commodity markets and limiting the foreign exchange needed for industrial investment. At the same time, Nepal’s GDP per capita hovers under USD 1,000, implying a very low saving ratio and scant domestically funded capital accumulation, which constrains its ability to finance the infrastructure and institutional development required to move beyond the “preconditions to take-off” stage of Rostow’s model.</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