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20" w:before="0"/>
      </w:pPr>
      <w:r>
        <w:rPr>
          <w:rFonts w:ascii="Times New Roman" w:cs="Times New Roman" w:eastAsia="Times New Roman" w:hAnsi="Times New Roman"/>
          <w:b/>
          <w:bCs/>
          <w:i w:val="false"/>
          <w:iCs w:val="false"/>
          <w:color w:val="000000"/>
          <w:sz w:val="36"/>
          <w:szCs w:val="36"/>
        </w:rPr>
        <w:t xml:space="preserve">Lemon Soda: revised deck plan</w:t>
      </w:r>
    </w:p>
    <w:p>
      <w:pPr>
        <w:keepNext w:val="false"/>
        <w:spacing w:after="120" w:before="0"/>
      </w:pPr>
      <w:r>
        <w:rPr>
          <w:rFonts w:ascii="Times New Roman" w:cs="Times New Roman" w:eastAsia="Times New Roman" w:hAnsi="Times New Roman"/>
          <w:b w:val="false"/>
          <w:bCs w:val="false"/>
          <w:i w:val="false"/>
          <w:iCs w:val="false"/>
          <w:color w:val="000000"/>
          <w:sz w:val="26"/>
          <w:szCs w:val="26"/>
        </w:rPr>
        <w:t xml:space="preserve">Five-section outline, confirmed headlines, slide content and Canva visualization specification</w:t>
      </w:r>
    </w:p>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Prepared 21 October 2026. Sources: rework/deck/deck_content.md (20 October 2026 version), rework/screen/ambient_variation_results.json, and the teammate's Canva design DAHX_hKTpDE (titles read on 21 October 2026).</w:t>
      </w:r>
    </w:p>
    <w:p>
      <w:pPr>
        <w:pStyle w:val="Heading1"/>
        <w:keepNext/>
        <w:spacing w:after="120" w:before="360"/>
      </w:pPr>
      <w:r>
        <w:rPr>
          <w:rFonts w:ascii="Times New Roman" w:cs="Times New Roman" w:eastAsia="Times New Roman" w:hAnsi="Times New Roman"/>
          <w:b/>
          <w:bCs/>
          <w:color w:val="000000"/>
          <w:sz w:val="32"/>
          <w:szCs w:val="32"/>
        </w:rPr>
        <w:t xml:space="preserve">1. Purpose</w:t>
      </w:r>
    </w:p>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This document sets out the five-section outline, the confirmed headline on each page, the slide content and layout, and the Canva specification for each visualization. Every figure comes from deck_content.md or from the model results file. Where a headline or layout needed a change, the change is recorded under the slide.</w:t>
      </w:r>
    </w:p>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Canva compatibility: each visualization is built from native Canva elements (text boxes, rectangles, circles and thin rules) at the sizes given. The only images are the six placeholders P1 to P6. No chart is exported as an image.</w:t>
      </w:r>
    </w:p>
    <w:p>
      <w:pPr>
        <w:pStyle w:val="Heading1"/>
        <w:keepNext/>
        <w:spacing w:after="120" w:before="360"/>
      </w:pPr>
      <w:r>
        <w:rPr>
          <w:rFonts w:ascii="Times New Roman" w:cs="Times New Roman" w:eastAsia="Times New Roman" w:hAnsi="Times New Roman"/>
          <w:b/>
          <w:bCs/>
          <w:color w:val="000000"/>
          <w:sz w:val="32"/>
          <w:szCs w:val="32"/>
        </w:rPr>
        <w:t xml:space="preserve">2. Outline and slide order</w:t>
      </w:r>
    </w:p>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Story order: cover, executive summary, company overview, gap, then the proposal. The table below is the quick summary of the five main sections, with the original slides each one 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Main section (new)</w:t>
            </w:r>
          </w:p>
        </w:tc>
        <w:tc>
          <w:tcPr>
            <w:tcW w:type="dxa" w:w="596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Original slides (merged)</w:t>
            </w:r>
          </w:p>
        </w:tc>
      </w:tr>
      <w:tr>
        <w:tc>
          <w:tcPr>
            <w:tcW w:type="dxa" w:w="34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 Introduction</w:t>
            </w:r>
          </w:p>
        </w:tc>
        <w:tc>
          <w:tcPr>
            <w:tcW w:type="dxa" w:w="59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Cover, Executive summary, Company overview</w:t>
            </w:r>
          </w:p>
        </w:tc>
      </w:tr>
      <w:tr>
        <w:tc>
          <w:tcPr>
            <w:tcW w:type="dxa" w:w="34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 Market &amp; Competition</w:t>
            </w:r>
          </w:p>
        </w:tc>
        <w:tc>
          <w:tcPr>
            <w:tcW w:type="dxa" w:w="59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The gap, Consumers, Competitors and our position</w:t>
            </w:r>
          </w:p>
        </w:tc>
      </w:tr>
      <w:tr>
        <w:tc>
          <w:tcPr>
            <w:tcW w:type="dxa" w:w="34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 Product Solution</w:t>
            </w:r>
          </w:p>
        </w:tc>
        <w:tc>
          <w:tcPr>
            <w:tcW w:type="dxa" w:w="59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The cube in use, Extension options, Product specification</w:t>
            </w:r>
          </w:p>
        </w:tc>
      </w:tr>
      <w:tr>
        <w:tc>
          <w:tcPr>
            <w:tcW w:type="dxa" w:w="34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 Financial Analysis</w:t>
            </w:r>
          </w:p>
        </w:tc>
        <w:tc>
          <w:tcPr>
            <w:tcW w:type="dxa" w:w="59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Unit economics, Valuation and shareholder value</w:t>
            </w:r>
          </w:p>
        </w:tc>
      </w:tr>
      <w:tr>
        <w:tc>
          <w:tcPr>
            <w:tcW w:type="dxa" w:w="34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 Execution Plan</w:t>
            </w:r>
          </w:p>
        </w:tc>
        <w:tc>
          <w:tcPr>
            <w:tcW w:type="dxa" w:w="59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Pilot, Implementation plan</w:t>
            </w:r>
          </w:p>
        </w:tc>
      </w:tr>
    </w:tbl>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
      </w:r>
    </w:p>
    <w:p>
      <w:pPr>
        <w:pStyle w:val="Heading2"/>
        <w:keepNext/>
        <w:spacing w:after="120" w:before="240"/>
      </w:pPr>
      <w:r>
        <w:rPr>
          <w:rFonts w:ascii="Times New Roman" w:cs="Times New Roman" w:eastAsia="Times New Roman" w:hAnsi="Times New Roman"/>
          <w:b/>
          <w:bCs/>
          <w:color w:val="000000"/>
          <w:sz w:val="28"/>
          <w:szCs w:val="28"/>
        </w:rPr>
        <w:t xml:space="preserve">Slide order with confirmed headlines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800"/>
        <w:gridCol w:w="1800"/>
        <w:gridCol w:w="3360"/>
        <w:gridCol w:w="800"/>
      </w:tblGrid>
      <w:tr>
        <w:trPr>
          <w:tblHeader/>
        </w:trPr>
        <w:tc>
          <w:tcPr>
            <w:tcW w:type="dxa" w:w="60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No.</w:t>
            </w:r>
          </w:p>
        </w:tc>
        <w:tc>
          <w:tcPr>
            <w:tcW w:type="dxa" w:w="200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Slide</w:t>
            </w:r>
          </w:p>
        </w:tc>
        <w:tc>
          <w:tcPr>
            <w:tcW w:type="dxa" w:w="80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Timing</w:t>
            </w:r>
          </w:p>
        </w:tc>
        <w:tc>
          <w:tcPr>
            <w:tcW w:type="dxa" w:w="180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Main section</w:t>
            </w:r>
          </w:p>
        </w:tc>
        <w:tc>
          <w:tcPr>
            <w:tcW w:type="dxa" w:w="336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Confirmed Canva headline</w:t>
            </w:r>
          </w:p>
        </w:tc>
        <w:tc>
          <w:tcPr>
            <w:tcW w:type="dxa" w:w="80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Old no.</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Cover</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0:15</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 Introduction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Singha Lemon Soda “Cube”</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Executive summary</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1:15</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 Introduction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Extending Singha Lemon Soda Through a New Drinking Format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Company overview</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1:15</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 Introduction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Singha Lemon Soda dominates Thailand's no-sugar canned soda market through innovation and strong distribution (see section 6, item 2)</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The gap</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 Market &amp; Competition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Marketing Gap Analysis (headline not yet written; see section 6, item 3)</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Consumers</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 Market &amp; Competition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Consumer Competitors and Our position (page title; no headline yet)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6</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Competitors and our position</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 Market &amp; Competition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Consumer Competitors and Our position (same page as slide 5)</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7</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The cube in use</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1:30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 Product Solution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The Cube In Use (page title; no headline yet)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6</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Extension options</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0:30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 Product Solution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Extension Options (page title; no headline yet)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12</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9</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Product specification</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 Product Solution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Product Specification (page title; no headline yet)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7</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Unit economics</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 Financial Analysis</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Unit Economics (page title; no headline yet)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9</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11</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Valuation and shareholder value</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1:30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4. Financial Analysis</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Valuation and Shareholder value (page title; no headline yet)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12</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Pilot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 Execution Plan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Pilot (page title; no headline yet)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11</w:t>
            </w:r>
          </w:p>
        </w:tc>
      </w:tr>
      <w:tr>
        <w:tc>
          <w:tcPr>
            <w:tcW w:type="dxa" w:w="6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13</w:t>
            </w:r>
          </w:p>
        </w:tc>
        <w:tc>
          <w:tcPr>
            <w:tcW w:type="dxa" w:w="2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Implementation plan</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1:30</w:t>
            </w:r>
          </w:p>
        </w:tc>
        <w:tc>
          <w:tcPr>
            <w:tcW w:type="dxa" w:w="1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 Execution Plan</w:t>
            </w:r>
          </w:p>
        </w:tc>
        <w:tc>
          <w:tcPr>
            <w:tcW w:type="dxa" w:w="3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Implementation Plan (page title; no headline yet)</w:t>
            </w:r>
          </w:p>
        </w:tc>
        <w:tc>
          <w:tcPr>
            <w:tcW w:type="dxa" w:w="8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13</w:t>
            </w:r>
          </w:p>
        </w:tc>
      </w:tr>
    </w:tbl>
    <w:p>
      <w:pPr>
        <w:keepNext w:val="false"/>
        <w:spacing w:after="120" w:before="120"/>
      </w:pPr>
      <w:r>
        <w:rPr>
          <w:rFonts w:ascii="Times New Roman" w:cs="Times New Roman" w:eastAsia="Times New Roman" w:hAnsi="Times New Roman"/>
          <w:b w:val="false"/>
          <w:bCs w:val="false"/>
          <w:i w:val="false"/>
          <w:iCs w:val="false"/>
          <w:color w:val="000000"/>
          <w:sz w:val="24"/>
          <w:szCs w:val="24"/>
        </w:rPr>
        <w:t xml:space="preserve">Total presentation time: 13 minutes 45 seconds, within the 15-minute limit (questions excluded).</w:t>
      </w:r>
    </w:p>
    <w:p>
      <w:pPr>
        <w:pStyle w:val="Heading1"/>
        <w:keepNext/>
        <w:spacing w:after="120" w:before="360"/>
      </w:pPr>
      <w:r>
        <w:rPr>
          <w:rFonts w:ascii="Times New Roman" w:cs="Times New Roman" w:eastAsia="Times New Roman" w:hAnsi="Times New Roman"/>
          <w:b/>
          <w:bCs/>
          <w:color w:val="000000"/>
          <w:sz w:val="32"/>
          <w:szCs w:val="32"/>
        </w:rPr>
        <w:t xml:space="preserve">3. Canva build rules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Canvas: 1920 by 1080 px, the same size as the working deck. All positions in this document are in pixels on that canvas.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Typeface: Times New Roman MT on every text element. Set it by hand on each new text box; the editing tools cannot set the typeface.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Type sizes: heading 28 px; content 24 px; footnote and source lines 18 px. Hero numbers may use 64 px. The slide headline keeps the title style of the working deck.</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Colours: black #000000 for text and rules; grey #6b6f76 for secondary text; light grey #E6E6E6 for out-of-scope bars. Stacked-bar greys (#737373, #A6A6A6 and #D9D9D9) are used only on slide 5. No red or gold on new elements.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Shapes: rectangles with a fill, or with a 2 px black outline and no fill. Circles are drawn as a two-arc path. Lines and rules are thin rectangles (2 px high or wide). No gradients, shadows, 3D effects or hand-drawn icons.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Images: only the placeholders P1 to P6, supplied by the team and placed with the image tool. No chart images, no exported plots.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Bars, dots and stacked bars are shapes sized with the scale given on each slide. The scale is stated in each visualization block so that the bars can be checked.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Tables are built as text boxes aligned to column left edges, with thin rules. No merged cells.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Animation, such as the one-phase-per-click reveal on slide 7, is set by hand in Canva's animation panel.</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Footnote lines (18 px) are used only for notes, sources and out-of-scope statements.</w:t>
      </w:r>
    </w:p>
    <w:p>
      <w:pPr>
        <w:pStyle w:val="Heading1"/>
        <w:keepNext/>
        <w:spacing w:after="120" w:before="360"/>
      </w:pPr>
      <w:r>
        <w:rPr>
          <w:rFonts w:ascii="Times New Roman" w:cs="Times New Roman" w:eastAsia="Times New Roman" w:hAnsi="Times New Roman"/>
          <w:b/>
          <w:bCs/>
          <w:color w:val="000000"/>
          <w:sz w:val="32"/>
          <w:szCs w:val="32"/>
        </w:rPr>
        <w:t xml:space="preserve">4. Slide-by-slide plan</w:t>
      </w:r>
    </w:p>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Each slide lists its timing, main section, confirmed Canva headline, proposed sentence headline, source, layout, full content, Canva visualization specification, speaker note and any change from deck_content.md.</w:t>
      </w:r>
    </w:p>
    <w:p>
      <w:pPr>
        <w:pStyle w:val="Heading2"/>
        <w:keepNext/>
        <w:spacing w:after="120" w:before="240"/>
      </w:pPr>
      <w:r>
        <w:rPr>
          <w:rFonts w:ascii="Times New Roman" w:cs="Times New Roman" w:eastAsia="Times New Roman" w:hAnsi="Times New Roman"/>
          <w:b/>
          <w:bCs/>
          <w:color w:val="000000"/>
          <w:sz w:val="28"/>
          <w:szCs w:val="28"/>
        </w:rPr>
        <w:t xml:space="preserve">1. Cover</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0:15</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1. Introduction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Singha Lemon Soda “Cube” (cover page, presented by Singha Ultra Smooth Team)</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One dissolvable cube makes a lemon drink in the glass.</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1</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Full-bleed. Title and subtitle on the left 55%. Image placeholder P1 on the right 45%.</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Title: Singha Lemon Soda “Cube” (confirmed Canva title). Our deck name is Lemon Soda; confirm the cover name (see section 6).</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Subtitle: One dissolvable cube makes a lemon drink in the glass.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Meta: Proposal from Singha Corporation, October 2026. Proposal for the SINGHA Ultimate Challenge 2026.</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Image placeholder P1: one citrus-yellow cube on a matte surface, with no glass, water or bubbles. Place at left 1020, top 0, width 900, height 1080 (full height, right 45%).</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Title: Times New Roman MT, 96 px, bold, left 100, top 330, width 880.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Subtitle: 40 px, left 100, top 560, width 880.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Meta line: 24 px, left 100, top 900, width 880.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 chart and no other shapes.</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One sentence: a lemon drink made in the glass from one cube.</w:t>
      </w:r>
    </w:p>
    <w:p>
      <w:pPr>
        <w:pStyle w:val="Heading2"/>
        <w:keepNext/>
        <w:spacing w:after="120" w:before="240"/>
      </w:pPr>
      <w:r>
        <w:rPr>
          <w:rFonts w:ascii="Times New Roman" w:cs="Times New Roman" w:eastAsia="Times New Roman" w:hAnsi="Times New Roman"/>
          <w:b/>
          <w:bCs/>
          <w:color w:val="000000"/>
          <w:sz w:val="28"/>
          <w:szCs w:val="28"/>
        </w:rPr>
        <w:t xml:space="preserve">2. Executive summary</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1:15</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1. Introduction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Extending Singha Lemon Soda Through a New Drinking Format (Executive Summary page; key question: How can Singha give Lemon Soda a new way to drink and grow sales without taking from the can?)</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One dissolvable cube makes a lemon drink in the glass, and the ask is a proof programme, not a launch.</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2</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The reference mind map. The proposing product sits on the left with image placeholder P2. Four boxes sit on the right, each joined to the product by a connector line. The ask bar runs along the bottom.</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Centre of the mind map: Lemon Soda: one cube, dissolved in one 330 ml serve, made in the glass.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Problem: Lemon drinks are sold ready to drink in cans. No dissolvable cube was found on sale in Thailand. The gap is a way of drinking, not a flavour.</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Identity: Singha already sells a lemon can, which its maker lists as sugar-free. Lemon Soda overlaps its flavour. The name needs a register search before use. The lion and SINGHA are for this proposal only.</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Proposal: one cube per 330 ml serve. Desk case at 200,000 cubes a year: NPV THB 0.17 million after excise and tax. Across the stated ranges, the chance of a positive NPV is about one in four.</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KPI: at least 3 units per store per week; repeat of 15% or more in both cohorts; pilot ceiling THB 84,686; a measured decision at M10 to M11 (scale one route, repeat once, or stop).</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Ask bar: a proof programme, not a launch. The executive sponsor signs the opening record: one owner per stage and the first budget ceiling.</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Product, left: image placeholder P2 (one cube on a matte surface) at left 100, top 200, width 380, height 380. Under it, the centre line “Lemon Soda: one cube, dissolved in one 330 ml serve, made in the glass.” at 24 px, left 100, top 600, width 380.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Four boxes, right: rectangles with a 2 px black outline and no fill, left 620, width 1200, height 180, tops 170, 370, 570 and 770. Each box has a heading (Problem, Identity, Proposal, KPI) at 28 px bold and body text at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Connector lines: thin black rectangles 2 px high, running from the product's right edge (x 480) to each box's left edge (x 620), at the box's vertical centre (y 260, 460, 660 and 860).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Ask bar: rectangle with black fill and white 24 px text, left 100, top 975, width 1720, height 80.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 chart. If a box text runs over, shorten the wording; do not go below 24 px.</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Read the four branches in order and end on the ask. Say plainly that the value case is small, and that the pilot tests the two inputs that decide it.</w:t>
      </w:r>
    </w:p>
    <w:p>
      <w:pPr>
        <w:pStyle w:val="Heading2"/>
        <w:keepNext/>
        <w:spacing w:after="120" w:before="240"/>
      </w:pPr>
      <w:r>
        <w:rPr>
          <w:rFonts w:ascii="Times New Roman" w:cs="Times New Roman" w:eastAsia="Times New Roman" w:hAnsi="Times New Roman"/>
          <w:b/>
          <w:bCs/>
          <w:color w:val="000000"/>
          <w:sz w:val="28"/>
          <w:szCs w:val="28"/>
        </w:rPr>
        <w:t xml:space="preserve">3. Company overview: Singha's lemon can</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1:15</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1. Introduction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Singha Lemon Soda dominates Thailand's no-sugar canned soda market through innovation and strong distribution (Company Overview page). Sub-headline from the Leverage the Can page: Build on Singha Lemon Soda's Existing Brand and Market Presence.</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Singha already sells a lemon can in 7-Eleven, Lotus's, Makro and online, and it is the taste reference for the cube.</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4 (moved from position 4 to position 3); Canva Company Overview and Leverage the Can pages</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Four cards in a row (Brand, Pack and price, Channels, Proof). Below them, a band of four derived estimates, labelled as derived. At the bottom, an out-of-scope bar.</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Brand: launched August 2020 (press; later articles say late 2020). Later flavours: Yuzu, Red, Ume, Pink, Lemon Cream. The lemon can is the taste reference.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Pack and price: 330 ml can. THB 16 at launch. Online on 20 October 2026: a single lemon can at THB 17.00 (Lotus's); 24-can packs at THB 13.54 to 13.75 a can.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Channels: 7-Eleven, Lotus's, Makro and the Singha Online Shop. The lemon can was listed online on 20 October 2026.</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Proof: the maker's page says 0% sugar (COMPANY CLAIM). Blind taste test against the can. Review point: if 7% or more of cube buyers would otherwise have bought a can, the value model is rerun.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Derived band, labelled “derived from public data; not Singha figures”: about 119 million cans a year (83 to 137 million); about THB 880 million a year to the producer; can variable cost about THB 3.3 before aluminium (2.6 to 3.9); 200,000 cubes need about 79 line-hours (45 to 152).</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 of scope: the filling plant; the can's unit cost; line capacity at the group's plants; the number of outlets that carry the can; store shelf prices; retail reach.</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Brand use: the lion and SINGHA need written sign-off from the brand owner before any pack print.</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Four cards in a row: rectangles with a 2 px black outline, width 400, height 440, top 180, lefts 100, 540, 980 and 1420. Card heading 28 px bold; body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Derived band: four text cells in a row, top 660, height 170, same left edges. Band heading 18 px: “Derived from public data; not Singha figures”. Each value in 40 px bold, with its range in 24 px beneath.</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Out-of-scope bar: rectangle with light grey fill #E6E6E6, left 100, top 860, width 1720, height 70, 24 px text.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 chart. The derived band is text, not a graphic.</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No speaker note in deck_content.md. Add one only if the presenter needs it.</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Moved from slide 4 to slide 3 so that company overview comes before the gap, as the fixed order requires. The confirmed Canva headline on this page makes a market-dominance claim that the deck's scope rule does not yet support (see section 6, item 2).</w:t>
      </w:r>
    </w:p>
    <w:p>
      <w:pPr>
        <w:pStyle w:val="Heading2"/>
        <w:keepNext/>
        <w:spacing w:after="120" w:before="240"/>
      </w:pPr>
      <w:r>
        <w:rPr>
          <w:rFonts w:ascii="Times New Roman" w:cs="Times New Roman" w:eastAsia="Times New Roman" w:hAnsi="Times New Roman"/>
          <w:b/>
          <w:bCs/>
          <w:color w:val="000000"/>
          <w:sz w:val="28"/>
          <w:szCs w:val="28"/>
        </w:rPr>
        <w:t xml:space="preserve">4. The gap</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1:00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2. Market &amp; Competition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Marketing Gap Analysis (page title only; no headline written yet). Candidate wording found in the design text, page not confirmed: Traditional Canned Format Dominates Thai Market, Leaving Drink Cubes as an Untapped Opportunity.</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Thailand white space: lemon is sold as a can, and no dissolvable cube was found.</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3 (moved from position 3 to position 4); Canva Marketing Gap Analysis page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Left: three stat blocks. Right: a two-column exhibit, “Today: a 330 ml can” beside “Proposed: one cube in 330 ml of water”. Out-of-scope bar at the bottom.</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Stat 1: 44% strictly try to reduce sugar; 27% are open to sugar or salt alternatives (Mintel, February 2026, 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Stat 2: sugar-free lemon and lime 24-can packs read THB 12.40 to 14.63 per 330 ml at named sellers (S, 20 October 2026).</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Stat 3: drink cubes sell overseas (waterdrop; Ricola). None was found on sale in Thailand in listings read on 20 October 2026.</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Exhibit, left column: “Today: a 330 ml can”. Proposed text (check before use): ready to drink, sold in cans; a single Singha lemon can at THB 17.00 online (Lotus's, 20 October 2026).</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Exhibit, right column: “Proposed: one cube in 330 ml of water”. Proposed text (check before use): one 3.8 g net cube dissolved in 330 ml of water, in the glass.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 of scope: market size. Press values disagree (NielsenIQ THB 70,772 million to November 2024; THB 66,000 million to January 2024; 2025 values THB 67,000 million to THB 76,900 million). No level is stated, and no market is sized from them.</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Three stat blocks on the left, width 800, tops 200, 430 and 660. Each number in 64 px bold; each caption in 24 px. Stat 1 shows 44% and 27% side by side.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Two-column exhibit on the right, top 200, height 600. Column A (Today): left 1000, width 380, 2 px black outline. Column B (Proposed): left 1420, width 380, solid black fill with white text. Headings 28 px bold; body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Out-of-scope bar: left 100, top 880, width 1720, height 70, light grey fill #E6E6E6.</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 chart.</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The claim is “not found in desk searches”, not “none exists”.</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Moved from slide 3 to slide 4, after company overview. The confirmed Canva headline for this page is not yet written; the candidate wording in section 6 needs a decision. Exhibit wording for the two columns is proposed text and needs a check.</w:t>
      </w:r>
    </w:p>
    <w:p>
      <w:pPr>
        <w:pStyle w:val="Heading2"/>
        <w:keepNext/>
        <w:spacing w:after="120" w:before="240"/>
      </w:pPr>
      <w:r>
        <w:rPr>
          <w:rFonts w:ascii="Times New Roman" w:cs="Times New Roman" w:eastAsia="Times New Roman" w:hAnsi="Times New Roman"/>
          <w:b/>
          <w:bCs/>
          <w:color w:val="000000"/>
          <w:sz w:val="28"/>
          <w:szCs w:val="28"/>
        </w:rPr>
        <w:t xml:space="preserve">5. Consumers</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1:00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2. Market &amp; Competition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Consumer Competitors and Our position (one page title covering slides 5 and 6; no headline written yet)</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44% strictly try to reduce sugar, and men aged 25 to 34 rank first in 94% of model runs.</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5 (position unchanged; main section is now 2. Market &amp; Competition)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Three stat tiles across the top. Left: Taste and Lead text, with a stacked bar for the sweetness split. Right: the ranking view of the model run. Out-of-scope bar at the bottom.</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Tiles: 90% of urban consumers drink carbonated drinks out of home | more than 22 purchases a year | about THB 19 per trip (Kantar, April 2024, 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Taste: about two in five name taste as a decision factor (Innova, October 2025, S). 40% prefer full sweetness, 36% less sweet, 24% undecided (Mintel, February 2026, 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Lead: in the model, men aged 25 to 34 who drink alcohol rank first among six drinker groups in 94% of simulated runs (40,000 runs). Men aged 35 to 44 rank first in 6%, and men aged 45 to 59 in 0.1%. The margin of men aged 25 to 34 over men aged 35 to 44 is +3.0% with age gradient alone (90% range minus 0.2 to plus 6.8) and +5.7% in the full model with potassium exclusion (90% range minus 0.3 to plus 12.3). Both ranges include zero. The confirmed category band is men aged 27 to 44 (Bangkok sample, n = 400, 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Ranking view: three bars showing the share of 40,000 runs in which each men group ranks first among six drinker groups: men aged 25 to 34, 94%; men aged 35 to 44, 6%; men aged 45 to 59, 0.1%.</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Note (18 px): share of 40,000 model runs in which each group has the highest potency per person among the six drinker groups. Model result under stated assumptions; see Appendix C.</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 of scope: a buyer profile for Singha Lemon Soda. Men aged 45 to 59 are a later volume segment, pended.</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Three stat tiles: rectangles with a 2 px black outline, width 540, height 200, tops 180, lefts 100, 690 and 1280. Number 64 px bold; caption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Left column (left 100, width 800): Taste heading 28 px bold, text 24 px. Stacked bar at top 640, height 60, three rectangles of width 320 (40%), 288 (36%) and 192 (24%). Fills: #737373 with white text, #A6A6A6 with black text, #D9D9D9 with black text. Labels “full sweetness”, “less sweet” and “undecided” beneath,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Right column (left 1000, width 820): heading 28 px bold. Ranking bars at a scale of 5.3 px per percentage point: 94% = 498 px, 6% = 32 px, 0.1% = a 1 px hairline with its label. Row labels 24 px at tops 420, 530 and 640; bars 40 px high at tops 460, 570 and 680; value labels 24 px bold to the right of each bar.</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Note at 18 px, left 1000, top 800, width 820.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Out-of-scope bar: left 100, top 900, width 1720, height 70, light grey fill.</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This is a model result under stated assumptions, not a consumer finding. The pilot tests it.</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Headline changed. The source supports “44% strictly try to reduce sugar” and “40% prefer full sweetness”. “Without losing taste” is an inference, so it is removed. The right side is the ranking view that is already in deck_content.md.</w:t>
      </w:r>
    </w:p>
    <w:p>
      <w:pPr>
        <w:pStyle w:val="Heading2"/>
        <w:keepNext/>
        <w:spacing w:after="120" w:before="240"/>
      </w:pPr>
      <w:r>
        <w:rPr>
          <w:rFonts w:ascii="Times New Roman" w:cs="Times New Roman" w:eastAsia="Times New Roman" w:hAnsi="Times New Roman"/>
          <w:b/>
          <w:bCs/>
          <w:color w:val="000000"/>
          <w:sz w:val="28"/>
          <w:szCs w:val="28"/>
        </w:rPr>
        <w:t xml:space="preserve">6. Competitors and our position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1:00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2. Market &amp; Competition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Consumer Competitors and Our position (same page as slide 5; the competitor half of the title)</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Competitors: the Singha lemon can and Lemon Soda share a flavour, and differ in form, pack and price.</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8 (moved from position 8 to position 6); Canva Consumer Competitors and Our position page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Comparison grid across the top (the Singha can beside Lemon Soda). Bottom left: a price strip per 330 ml. Bottom right: overseas analogues.</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Table rows: flavour; form; pack; sweetener; price; claims; status.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Singha can: lemon; ready to drink; 330 ml can; sucralose and acesulfame potassium; THB 17.00 single can and THB 13.54 to 13.75 a can in 24-can packs; 0% sugar (COMPANY CLAIM); on sale online.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Lemon Soda: lemon; dissolves in 330 ml of water; one cube per pouch; sucralose 55 mg; THB 15 (assumption); no sugar-free or health claim; desk model only.</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Price strip (THB per 330 ml): sugar-free 24-can packs 12.40 to 14.63; sugar-free singles 16.25 (7UP No Sugar) and 17.00 (Singha); Lemon Soda 15 (assumption).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Analogues (THB per unit as sold): waterdrop 22.81 to 39.11; Ricola cube 22.59 to 28.21; Nuun tablet 25.13; Japanese tea cube 8.48 (2021).</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Note: Lemon Soda competes on form and the Singha name, not on price. The THB 15 price is an assumption.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 of scope: store shelf prices. All prices are online listings read on 20 October 2026.</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Comparison grid across the top: left 100, width 1720. Columns: row label 300 px, Singha can 710 px, Lemon Soda 710 px. Seven rows of 60 px each, from top 180. Thin black rules (2 px rectangles) between rows. Row labels 24 px bold; cell text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Price strip, bottom left: left 100, top 650, width 820. Bars start at THB 0 with a scale of 35 px per THB (THB 17 = 595 px). Labels sit above each bar. Rows: sugar-free 24-can packs as a range bar from 434 px to 512 px (12.40 to 14.63); 7UP No Sugar 16.25 (569 px); Singha single 17.00 (595 px); Lemon Soda 15 (525 px) as an outlined bar, marked as an assumption.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Analogues, bottom right: left 1000, width 820, top 650. Four text rows at 24 px. No chart.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Out-of-scope line at 18 px, top 960.</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No speaker note in deck_content.md.</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Table and bars added as Canva specification. Moved from slide 8 to slide 6, under 2. Market &amp; Competition.</w:t>
      </w:r>
    </w:p>
    <w:p>
      <w:pPr>
        <w:pStyle w:val="Heading2"/>
        <w:keepNext/>
        <w:spacing w:after="120" w:before="240"/>
      </w:pPr>
      <w:r>
        <w:rPr>
          <w:rFonts w:ascii="Times New Roman" w:cs="Times New Roman" w:eastAsia="Times New Roman" w:hAnsi="Times New Roman"/>
          <w:b/>
          <w:bCs/>
          <w:color w:val="000000"/>
          <w:sz w:val="28"/>
          <w:szCs w:val="28"/>
        </w:rPr>
        <w:t xml:space="preserve">7. The cube in use</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1:30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3. Product Solution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The Cube In Use (page title only; no headline written yet)</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The cube in use: the consumer makes the drink in the glass in three phases, and the timings are model estimates.</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6 (moved from position 6 to position 7); Canva page 'The Cube In Use'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Three image placeholders (P3, P4, P5), one shown per phase. A three-phase transition strip across the top with numbered circles. The selected phase is large in the centre, and its neighbours are small. Below: the detail of the selected phase and a chip list of out-of-scope items.</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Phase 1, the cube: shelf life is OUT OF SCOPE of the desk model. The storage test (35 C for 8 weeks, assumption) is planned before pack print.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Phase 2, dropped into water: about 6 minutes stirred and about 11 minutes still (central, model estimate at 25 C). Across the assumed ranges, 3 to 74 minutes. This holds only if the cube breaks into fine pieces. Dissolution in a glass is OUT OF SCOPE.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Phase 3, ready to drink: surface loss alone keeps dissolved carbon dioxide above the 0.44 g/L sparkling threshold for about 1.7 to 3.4 hours (model estimate at 20 C). Bubble loss could cut this to about 15 minutes. Below 41% of the dose dissolved at serve, the drink starts under the threshold. Taste is OUT OF SCOPE of the desk model.</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Out-of-scope chips: shelf life; dissolution in a glass; taste.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Moved to the speaker note and Appendix A, because the layout has no room for them: desk chemistry (pH about 3.4 to 3.5, working pH 3.5; sweetness about 10 g of sugar equivalent per 100 ml at 55 mg of sucralose, assumption); the label box; and the label note (no sugar-free, health, hydration, sodium-free or fizz claim is printed).</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Phase strip: a horizontal rectangle 4 px high, from left 200 to 1720, at top 200. Three circles of 90 px diameter centred on the strip at x 300, 960 and 1620 (tops 155). Numbers 1, 2 and 3 in 28 px bold inside the circles. Phase names under each circle in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Phase image: the selected placeholder (P3, P4 or P5) is large in the centre at left 560, top 300, width 800, height 380. The other two placeholders are small at left 100 and left 1420, width 300, height 200, top 300.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Detail block: left 100, top 710, width 1720, height 240, 24 px text; timings in bold.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Out-of-scope chips: four rounded rectangles with a 2 px outline in a row, top 980, height 60, 24 px text.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The one-phase-per-click reveal is a presenter animation. Set it by hand in Canva's animation panel; the editing tools cannot set it.</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Say which numbers are derived from sources and models (pH, acid, sweetness, potassium), and which are model estimates for the phases. Desk chemistry, the label box and the label note are also in this note (see the content section).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Headline unchanged. Desk chemistry, label box and label note moved to the speaker note and Appendix A, because the layout cannot hold them at 24 px.</w:t>
      </w:r>
    </w:p>
    <w:p>
      <w:pPr>
        <w:pStyle w:val="Heading2"/>
        <w:keepNext/>
        <w:spacing w:after="120" w:before="240"/>
      </w:pPr>
      <w:r>
        <w:rPr>
          <w:rFonts w:ascii="Times New Roman" w:cs="Times New Roman" w:eastAsia="Times New Roman" w:hAnsi="Times New Roman"/>
          <w:b/>
          <w:bCs/>
          <w:color w:val="000000"/>
          <w:sz w:val="28"/>
          <w:szCs w:val="28"/>
        </w:rPr>
        <w:t xml:space="preserve">8. Extension options</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0:30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3. Product Solution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Extension Options (page title only; no headline written yet)</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Extension options: the same drinking way could carry Singha's other soda flavours, and only lemon is in scope.</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12 (moved from position 12 to position 8); Canva Extension Options page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A row of five cubes in flavour colours on one image placeholder (P6). Lemon is marked “in scope”; Yuzu, Red, Ume and Pink are marked “option”.</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Note: the drinking way is the same in each: one cube in one 330 ml serve. Other flavours are options, not a plan, and each would need its own taste test and label check. None is tested or claimed here.</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Image placeholder P6 (a row of five cubes; no glass, water or bubbles): left 100, top 260, width 1720, height 380.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Labels under each cube, 24 px, top 670, each in a column 344 px wide at lefts 100, 444, 788, 1132 and 1476: “Lemon: in scope” (bold), “Yuzu: option”, “Red: option”, “Ume: option”, “Pink: option”.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Note line at 24 px, top 760, width 1720.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 chart.</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No speaker note in deck_content.md.</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Note text kept. Layout unchanged.</w:t>
      </w:r>
    </w:p>
    <w:p>
      <w:pPr>
        <w:pStyle w:val="Heading2"/>
        <w:keepNext/>
        <w:spacing w:after="120" w:before="240"/>
      </w:pPr>
      <w:r>
        <w:rPr>
          <w:rFonts w:ascii="Times New Roman" w:cs="Times New Roman" w:eastAsia="Times New Roman" w:hAnsi="Times New Roman"/>
          <w:b/>
          <w:bCs/>
          <w:color w:val="000000"/>
          <w:sz w:val="28"/>
          <w:szCs w:val="28"/>
        </w:rPr>
        <w:t xml:space="preserve">9. Product specification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1:00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3. Product Solution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Product Specification (page title only; no headline written yet)</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Product specification: a 14 mm cube, specified at 3.8 g net, with a design dose of 0.55 volumes of CO2 per serve.</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7 (moved from position 7 to position 9); Canva Product Specification page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Table on the left 60%. Three caveat cards on the right, stacked.</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Table (item | value | tier): Potassium bicarbonate | 0.81 g | DERIVED. Citric acid | 2.10 g; 0.52 g neutralises the bicarbonate; working pH about 3.5 | DERIVED. Sucralose | 55 mg a serve; about 167 mg per kg | ASSUMPTION. Sucralose limit | 300 mg/kg for flavoured drinks, category 14.1.4 | S (rows read in part). Binder and filler | 0.80 g mannitol, tableting grade; fallback isomalt | ASSUMPTION. Lemon flavour | 0.05 g | ASSUMPTION. Cube | 14 mm; dry mass 3.82 g (range 3.49 to 4.27 g); density 1.39 g/cm3 | DERIVED. Packed unit | 5.32 g with a 1.5 g pouch | ASSUMPTION. Net weight | 3.8 g specification, verified by weighing before print | DERIVED. Carton | six cubes, 190 x 150 x 50 mm | ASSUMPTION. Container (20 ft) | 21,386 cartons; 128,316 cubes; payload 28.33 t | DERIVED.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Caveat card 1, potassium: about 317 mg a serve, 9% of the 3,500 mg Thai reference (P). About 960 mg per litre. A Thai notification for mineral-salt beverages (No. 195) sets at most 195 mg per litre; it is in force (P). Whether the cube falls in that class is decided by the regulatory opinion. Until then, the class is OUT OF SCOPE of the desk model.</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Caveat card 2, kidney and medicines: OUT OF SCOPE of the desk model. About 1% of men aged 25 to 34 and about 13% of adults aged 25 and over are in the caution group (model bounds). A medical review is required before sale.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Caveat card 3, pack precaution (draft): “Contains about 320 mg potassium per cube. Ask a doctor or pharmacist before drinking if you have kidney disease or take medicines that can raise blood potassium. Do not drink more than one cube a day.” The daily limit is an assumption.</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Table: left 100, top 180, width 1040. Columns: item 330 px, value 500 px, tier 210 px. Header row plus eleven rows, 24 px text, rules between rows.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Caveat cards: three rectangles with a 2 px outline, left 1200, width 620, heights 260, tops 180, 470 and 760. Card heading 24 px bold; body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If a card runs over at 24 px, keep the sentence marked key on the slide and move the rest to the speaker note. Do not reduce the size.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 chart.</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No speaker note in deck_content.md.</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Headline: “3.8 g net” now reads “specified at 3.8 g net”, because the source labels net weight as a specification verified by weighing. “0.55 volume” now reads “0.55 volumes”.</w:t>
      </w:r>
    </w:p>
    <w:p>
      <w:pPr>
        <w:pStyle w:val="Heading2"/>
        <w:keepNext/>
        <w:spacing w:after="120" w:before="240"/>
      </w:pPr>
      <w:r>
        <w:rPr>
          <w:rFonts w:ascii="Times New Roman" w:cs="Times New Roman" w:eastAsia="Times New Roman" w:hAnsi="Times New Roman"/>
          <w:b/>
          <w:bCs/>
          <w:color w:val="000000"/>
          <w:sz w:val="28"/>
          <w:szCs w:val="28"/>
        </w:rPr>
        <w:t xml:space="preserve">10. Unit economics</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1:00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4. Financial Analysis</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Unit Economics (page title only; no headline written yet)</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Unit economics: a cube contributes THB 3.94 after excise, and pouch and print are most of its cost.</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9 (moved from position 9 to position 10); Canva Unit Economics page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Left: a stacked bar of the cube cost, with the price chain beneath it. Right: a table of can cost by volume.</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Cube cost (THB, six-cube pack): reactants 0.12; pouch and print 2.80; processing 0.50; carton 0.67; total 4.09 before binder and flavour.</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Price chain: shelf THB 15; invoice THB 9.34; excise THB 1.31; net THB 8.03; contribution THB 3.94. Before excise, on the planning price of THB 9.00, the contribution is THB 4.91.</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Can table (THB per can, before aluminium): 500 million cans: 3.27 with no fixed cost, 3.87 with THB 300 million fixed, 4.47 with THB 600 million. 1,000 million cans: 3.27, 3.57, 3.87. 1,676 million cans (group capacity proxy): 3.27, 3.45, 3.62.</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Note: the binder's import range (THB 0.08 to 1.27 a cube) takes the cost to THB 4.17 to 5.36. At the top of the range, contribution falls to about THB 2.67, close to the floor of THB 2.54. Each USD 100 a tonne of aluminium adds about THB 0.06 a can.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 of scope: the flavour cost, which is not yet priced.</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Stacked bar of cube cost: left 100, top 260, width 1000, height 90, at a scale of 244.5 px per THB. Segments: reactants 0.12 (29 px); pouch and print 2.80 (685 px, black fill, white label); processing 0.50 (122 px); carton 0.67 (164 px). Value labels 24 px above each segment; the 0.12 label sits above its small segment.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Price chain beneath: five text boxes in a row at top 480, width 300, lefts 100, 430, 760, 1090 and 1420: Shelf THB 15; Invoice THB 9.34; Excise THB 1.31; Net THB 8.03; Contribution THB 3.94 (bold). Thin 2 px rules between boxes stand in for arrows. Below, at top 620: “Before excise, planning price THB 9.00: contribution THB 4.91”,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Can table, right: left 1200, width 620, top 180. Four columns: volume 180 px; no fixed cost 146 px; THB 300 million fixed 147 px; THB 600 million fixed 147 px. Header plus three rows of 60 px, 24 px text.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Notes at 24 px under the can table, left 1200, top 560, width 620. Out-of-scope line at 18 px, top 1000.</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No speaker note in deck_content.md.</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Headline: the can's variable cost (about THB 3.3) moved out of the headline and stays in the can table and note, so the headline covers the cube only.</w:t>
      </w:r>
    </w:p>
    <w:p>
      <w:pPr>
        <w:pStyle w:val="Heading2"/>
        <w:keepNext/>
        <w:spacing w:after="120" w:before="240"/>
      </w:pPr>
      <w:r>
        <w:rPr>
          <w:rFonts w:ascii="Times New Roman" w:cs="Times New Roman" w:eastAsia="Times New Roman" w:hAnsi="Times New Roman"/>
          <w:b/>
          <w:bCs/>
          <w:color w:val="000000"/>
          <w:sz w:val="28"/>
          <w:szCs w:val="28"/>
        </w:rPr>
        <w:t xml:space="preserve">11. Valuation and shareholder value</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1:30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4. Financial Analysis</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Valuation and Shareholder value (page title only; no headline written yet)</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Valuation: at base inputs the cube adds THB 0.17 million after excise and tax, and across the ranges the chance of a positive NPV is about one in four.</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10 (moved from position 10 to position 11); Canva Valuation and Shareholder value page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Left: NPV by annual volume. Middle: a probability box. Right: five value drivers. Bottom: the shareholder chain in four steps.</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NPV by volume (THB million): 50,000 cubes, minus 1.41; 184,325 cubes, zero (break-even with no cannibalisation); 200,000 cubes, 0.17 (base); 500,000 cubes, 3.32; 1,000,000 cubes, 8.59.</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Probability box: chance of a positive NPV 0.26 (0.40 before excise and tax; 0.58 on a simpler structure). The test set in advance needs 0.95. Expected NPV minus THB 0.88 million; 90% range minus 3.40 to plus 1.59 million.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Value drivers: (1) Contribution: THB 3.94 a cube after excise (THB 4.91 before excise). (2) Cannibalisation: the NPV is zero at about 7.5% of cube buyers who would otherwise buy a can. The review level is 7%. (3) Volume: break-even 184,325 cubes a year with no cannibalisation (operating break-even 127,000); base 200,000. (4) Fixed cost and shelf price explain most of the spread. The NPV stays positive up to THB 0.54 million of fixed cost. (5) Option: the pilot reads demand after 13 weeks and can stop.</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Shareholder chain, four steps: (1) Singha Corporation: the profit is booked here (a stated limit). (2) Boon Rawd Brewery: if it held all of it and paid out all profit, about THB 151,000 a year in years 2 to 5. (3) A 10% stake: about THB 15,000 a year before holder tax. (4) Holding and payout: OUT OF SCOPE of the sources read.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Scale note: the base NPV is about 0.005% of Singha Corporation's 2025 net profit of THB 3,085 million (press, single company). Out of scope: pilot spend is not sized from sources; the demand read is valued in the model only.</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NPV bars, left: a zero line (2 px wide rectangle) at x 420, from top 200 to 610. Scale 30 px per THB million. Rows: label 24 px at tops 200, 284, 368, 452 and 536, with each bar 36 px high at label top + 34. 50,000 cubes: minus 1.41 (bar from x 378 to 420). 184,325 cubes: zero, marked by the zero line only. 200,000 cubes (base): 0.17 (5 px bar). 500,000 cubes: 3.32 (100 px bar). 1,000,000 cubes: 8.59 (258 px bar, ending at x 678).</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Probability box, middle: rectangle with a 2 px outline, left 760, top 200, width 400, height 400. Hero number “0.26” at 64 px bold; caption “chance of a positive NPV” at 24 px; detail lines at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Value drivers, right: five numbered rows at left 1200, width 620, tops 200, 310, 420, 530 and 640. Number 28 px bold; text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Shareholder chain, bottom: four rectangles with a 2 px outline, width 400, height 200, top 800, lefts 100, 540, 980 and 1420, joined by 40 px rules at y 900. Text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Scale note and out-of-scope line at 18 px, top 1020, width 1720.</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No speaker note in deck_content.md.</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The shareholder chain is shortened to four steps to fit the layout; its figures are unchanged.</w:t>
      </w:r>
    </w:p>
    <w:p>
      <w:pPr>
        <w:pStyle w:val="Heading2"/>
        <w:keepNext/>
        <w:spacing w:after="120" w:before="240"/>
      </w:pPr>
      <w:r>
        <w:rPr>
          <w:rFonts w:ascii="Times New Roman" w:cs="Times New Roman" w:eastAsia="Times New Roman" w:hAnsi="Times New Roman"/>
          <w:b/>
          <w:bCs/>
          <w:color w:val="000000"/>
          <w:sz w:val="28"/>
          <w:szCs w:val="28"/>
        </w:rPr>
        <w:t xml:space="preserve">12. Pilot</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1:00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5. Execution Plan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Pilot (page title only; no headline written yet)</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Pilot: demand and repeat are tested before any paid media is scaled.</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11 (moved from position 11 to position 12); Canva Pilot page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Three columns (concept pre-test, M3 to M5; pilot, M7 to M10; measured decision, M10 to M11). A survey box across the bottom. A budget strip at the very bottom.</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Column 1, concept pre-test (M3 to M5): recruited panel of men aged 25 to 59 who drank alcohol in the past year; one brand-blind concept, signed off by M3; top-2-box intent by age cell at THB 15 (assumption); rule fixed in advance; no media, no sale.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Column 2, pilot, 13 weeks (M7 to M10): click-to-first-purchase on non-paid traffic in weeks 1 to 4. Route A: 20 in-store stores, read at weeks 8 and 13; scale if both reads reach at least 3 units per store per week, stop if both are below, otherwise hold. A 20-store trial can tell a halving of demand from the 3-unit target. Route B (paid social) starts only if the non-paid read reaches a 1.0% click-to-first-purchase rate.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Column 3, measured decision (M10 to M11): scale one route, repeat once in the same stores, or stop. Scale needs repeat of 15% or more in both cohorts, contribution of at least THB 3.51 per cube before excise (THB 2.54 after), and a cannibalisation share under 7%.</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Survey box: a screening test at 1,377 completes per cell for a 5-point lead. The modelled lead is about 1.2 points, which needs about 22,000 per cell. At 1,377 per cell, the test confirms the direction of the lead in 12.7% of simulated runs and rules out a 5-point lead in 56.4%. Fieldwork waits for the regulatory opinion and the panel approval.</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Budget strip: committed THB 24,686; conditional THB 60,000 for paid social; ceiling THB 84,686.</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 of scope: pilot results. Every figure in this slide is from simulated pilots.</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Three columns: left 100, 690 and 1280; width 540; top 200; height 440. Each column heading 28 px bold, with a 2 px rule beneath; body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Survey box: rectangle with a 2 px outline, left 100, top 680, width 1720, height 200. Heading 24 px bold; body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Budget strip: top 920, height 90, three cells of width 573 at lefts 100, 673 and 1246. Labels 24 px; values 28 px bold.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Out-of-scope line at 18 px, top 1030.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No chart.</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Full pilot wording, including the creator pilot in Appendix D: Route B starts only if the non-paid read reaches a 1.0% click-to-first-purchase rate (assumption); the creator pilot is in Appendix D.</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Headline: the 20-store trial clause moved from the headline into column 2. Column 2 is shortened so it fits at 24 px; the full rules stay in the speaker note.</w:t>
      </w:r>
    </w:p>
    <w:p>
      <w:pPr>
        <w:pStyle w:val="Heading2"/>
        <w:keepNext/>
        <w:spacing w:after="120" w:before="240"/>
      </w:pPr>
      <w:r>
        <w:rPr>
          <w:rFonts w:ascii="Times New Roman" w:cs="Times New Roman" w:eastAsia="Times New Roman" w:hAnsi="Times New Roman"/>
          <w:b/>
          <w:bCs/>
          <w:color w:val="000000"/>
          <w:sz w:val="28"/>
          <w:szCs w:val="28"/>
        </w:rPr>
        <w:t xml:space="preserve">13. Implementation plan</w:t>
      </w:r>
    </w:p>
    <w:p>
      <w:pPr>
        <w:keepNext w:val="false"/>
        <w:spacing w:after="120" w:before="0"/>
      </w:pPr>
      <w:r>
        <w:rPr>
          <w:rFonts w:ascii="Times New Roman" w:cs="Times New Roman" w:eastAsia="Times New Roman" w:hAnsi="Times New Roman"/>
          <w:b/>
          <w:bCs/>
          <w:i w:val="false"/>
          <w:iCs w:val="false"/>
          <w:color w:val="000000"/>
          <w:sz w:val="24"/>
          <w:szCs w:val="24"/>
        </w:rPr>
        <w:t xml:space="preserve">Timing: </w:t>
      </w:r>
      <w:r>
        <w:rPr>
          <w:rFonts w:ascii="Times New Roman" w:cs="Times New Roman" w:eastAsia="Times New Roman" w:hAnsi="Times New Roman"/>
          <w:b w:val="false"/>
          <w:bCs w:val="false"/>
          <w:i w:val="false"/>
          <w:iCs w:val="false"/>
          <w:color w:val="000000"/>
          <w:sz w:val="24"/>
          <w:szCs w:val="24"/>
        </w:rPr>
        <w:t xml:space="preserve">1:30</w:t>
      </w:r>
    </w:p>
    <w:p>
      <w:pPr>
        <w:keepNext w:val="false"/>
        <w:spacing w:after="120" w:before="0"/>
      </w:pPr>
      <w:r>
        <w:rPr>
          <w:rFonts w:ascii="Times New Roman" w:cs="Times New Roman" w:eastAsia="Times New Roman" w:hAnsi="Times New Roman"/>
          <w:b/>
          <w:bCs/>
          <w:i w:val="false"/>
          <w:iCs w:val="false"/>
          <w:color w:val="000000"/>
          <w:sz w:val="24"/>
          <w:szCs w:val="24"/>
        </w:rPr>
        <w:t xml:space="preserve">Main section: </w:t>
      </w:r>
      <w:r>
        <w:rPr>
          <w:rFonts w:ascii="Times New Roman" w:cs="Times New Roman" w:eastAsia="Times New Roman" w:hAnsi="Times New Roman"/>
          <w:b w:val="false"/>
          <w:bCs w:val="false"/>
          <w:i w:val="false"/>
          <w:iCs w:val="false"/>
          <w:color w:val="000000"/>
          <w:sz w:val="24"/>
          <w:szCs w:val="24"/>
        </w:rPr>
        <w:t xml:space="preserve">5. Execution Plan</w:t>
      </w:r>
    </w:p>
    <w:p>
      <w:pPr>
        <w:keepNext w:val="false"/>
        <w:spacing w:after="120" w:before="0"/>
      </w:pPr>
      <w:r>
        <w:rPr>
          <w:rFonts w:ascii="Times New Roman" w:cs="Times New Roman" w:eastAsia="Times New Roman" w:hAnsi="Times New Roman"/>
          <w:b/>
          <w:bCs/>
          <w:i w:val="false"/>
          <w:iCs w:val="false"/>
          <w:color w:val="000000"/>
          <w:sz w:val="24"/>
          <w:szCs w:val="24"/>
        </w:rPr>
        <w:t xml:space="preserve">Confirmed Canva headline: </w:t>
      </w:r>
      <w:r>
        <w:rPr>
          <w:rFonts w:ascii="Times New Roman" w:cs="Times New Roman" w:eastAsia="Times New Roman" w:hAnsi="Times New Roman"/>
          <w:b w:val="false"/>
          <w:bCs w:val="false"/>
          <w:i w:val="false"/>
          <w:iCs w:val="false"/>
          <w:color w:val="000000"/>
          <w:sz w:val="24"/>
          <w:szCs w:val="24"/>
        </w:rPr>
        <w:t xml:space="preserve">Implementation Plan (page title only; no headline written yet)</w:t>
      </w:r>
    </w:p>
    <w:p>
      <w:pPr>
        <w:keepNext w:val="false"/>
        <w:spacing w:after="120" w:before="0"/>
      </w:pPr>
      <w:r>
        <w:rPr>
          <w:rFonts w:ascii="Times New Roman" w:cs="Times New Roman" w:eastAsia="Times New Roman" w:hAnsi="Times New Roman"/>
          <w:b/>
          <w:bCs/>
          <w:i w:val="false"/>
          <w:iCs w:val="false"/>
          <w:color w:val="000000"/>
          <w:sz w:val="24"/>
          <w:szCs w:val="24"/>
        </w:rPr>
        <w:t xml:space="preserve">Headline (sentence, proposed): </w:t>
      </w:r>
      <w:r>
        <w:rPr>
          <w:rFonts w:ascii="Times New Roman" w:cs="Times New Roman" w:eastAsia="Times New Roman" w:hAnsi="Times New Roman"/>
          <w:b w:val="false"/>
          <w:bCs w:val="false"/>
          <w:i w:val="false"/>
          <w:iCs w:val="false"/>
          <w:color w:val="000000"/>
          <w:sz w:val="24"/>
          <w:szCs w:val="24"/>
        </w:rPr>
        <w:t xml:space="preserve">Implementation plan: ten gates, one owner each, and a stop rule at every gate.</w:t>
      </w:r>
    </w:p>
    <w:p>
      <w:pPr>
        <w:keepNext w:val="false"/>
        <w:spacing w:after="120" w:before="0"/>
      </w:pPr>
      <w:r>
        <w:rPr>
          <w:rFonts w:ascii="Times New Roman" w:cs="Times New Roman" w:eastAsia="Times New Roman" w:hAnsi="Times New Roman"/>
          <w:b/>
          <w:bCs/>
          <w:i w:val="false"/>
          <w:iCs w:val="false"/>
          <w:color w:val="000000"/>
          <w:sz w:val="24"/>
          <w:szCs w:val="24"/>
        </w:rPr>
        <w:t xml:space="preserve">Source: </w:t>
      </w:r>
      <w:r>
        <w:rPr>
          <w:rFonts w:ascii="Times New Roman" w:cs="Times New Roman" w:eastAsia="Times New Roman" w:hAnsi="Times New Roman"/>
          <w:b w:val="false"/>
          <w:bCs w:val="false"/>
          <w:i w:val="false"/>
          <w:iCs w:val="false"/>
          <w:color w:val="000000"/>
          <w:sz w:val="24"/>
          <w:szCs w:val="24"/>
        </w:rPr>
        <w:t xml:space="preserve">deck_content.md, Slide 13 (position unchanged); Canva Implementation Plan page</w:t>
      </w:r>
    </w:p>
    <w:p>
      <w:pPr>
        <w:keepNext w:val="false"/>
        <w:spacing w:after="120" w:before="0"/>
      </w:pPr>
      <w:r>
        <w:rPr>
          <w:rFonts w:ascii="Times New Roman" w:cs="Times New Roman" w:eastAsia="Times New Roman" w:hAnsi="Times New Roman"/>
          <w:b/>
          <w:bCs/>
          <w:i w:val="false"/>
          <w:iCs w:val="false"/>
          <w:color w:val="000000"/>
          <w:sz w:val="24"/>
          <w:szCs w:val="24"/>
        </w:rPr>
        <w:t xml:space="preserve">Layout: </w:t>
      </w:r>
      <w:r>
        <w:rPr>
          <w:rFonts w:ascii="Times New Roman" w:cs="Times New Roman" w:eastAsia="Times New Roman" w:hAnsi="Times New Roman"/>
          <w:b w:val="false"/>
          <w:bCs w:val="false"/>
          <w:i w:val="false"/>
          <w:iCs w:val="false"/>
          <w:color w:val="000000"/>
          <w:sz w:val="24"/>
          <w:szCs w:val="24"/>
        </w:rPr>
        <w:t xml:space="preserve">Top: the phase timeline. Middle left: the gate table (Gates 0 to 9, one line each). Middle right: the stop rules. Bottom: the ask bar.</w:t>
      </w:r>
    </w:p>
    <w:p>
      <w:pPr>
        <w:pStyle w:val="Heading3"/>
        <w:keepNext/>
        <w:spacing w:after="120" w:before="240"/>
      </w:pPr>
      <w:r>
        <w:rPr>
          <w:rFonts w:ascii="Times New Roman" w:cs="Times New Roman" w:eastAsia="Times New Roman" w:hAnsi="Times New Roman"/>
          <w:b/>
          <w:bCs/>
          <w:color w:val="000000"/>
          <w:sz w:val="24"/>
          <w:szCs w:val="24"/>
        </w:rPr>
        <w:t xml:space="preserve">Content on the slide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Timeline: Phase 0 mobilise, M0 to M1; Phase 1 readiness gates, M1 to M5; Phase 2 concept pre-test, M3 to M5; Phase 3 pilot readiness, M5 to M7; Phase 4 marketing pilot, M7 to M10 (13 weeks of trading); Phase 5 measured decision, M10 to M11; Phase 6 scale, from M13. M0 is set by the opening record.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Gates: 0 go record and owners; 1 class and sweetener (written Thai regulatory opinion); 2 potassium (medical review); 3 dissolved CO2 (bench cubes at 0.55 volume by M2); 4 taste (blind test, at least 55% preference); 5 pack, storage and quotes; 6 route and food safety (named plant, verified certificate); 7 brand, name and copy (written sign-off from the mark holder); 8 pilot design and budget; 9 pack release (weighed net weight, shelf life). Sale is blocked until Gates 1, 2, 7 and 9 pass. A pilot batch also needs Gates 3 to 6 and 8.</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Stop rules: no permitted sweetener for the class: no sale. Blind preference below 55%: one acid reset, then stop. Pack reaction above 0.5% at 35 C: no launch until the barrier changes. Contribution below THB 3.51 before excise, or repeat below 15% in two cohorts: stop the scale-up. Below 3 units per store per week on two reads: stop that route. Paid-social cost per first purchase above THB 27.38: stop paid social. Potassium above the class ceiling: no sale until the class or the formula changes.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Ask bar: the executive sponsor signs the Gate 0 record, which names one owner per gate and the first budget ceiling. Every other setting is the team's, with its basis and owner role.</w:t>
      </w:r>
    </w:p>
    <w:p>
      <w:pPr>
        <w:pStyle w:val="Heading3"/>
        <w:keepNext/>
        <w:spacing w:after="120" w:before="240"/>
      </w:pPr>
      <w:r>
        <w:rPr>
          <w:rFonts w:ascii="Times New Roman" w:cs="Times New Roman" w:eastAsia="Times New Roman" w:hAnsi="Times New Roman"/>
          <w:b/>
          <w:bCs/>
          <w:color w:val="000000"/>
          <w:sz w:val="24"/>
          <w:szCs w:val="24"/>
        </w:rPr>
        <w:t xml:space="preserve">Canva visualization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Timeline: seven rectangles of width 230 and height 150 at top 200, at lefts 100, 350, 600, 850, 1100, 1350 and 1600. Each holds “Phase n”, the phase name and its months in 24 px. Drawn as equal boxes, not to scale. The design's navigation label “Executive plan” should read “Execution Plan”.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Gate table, middle left: left 100, top 390, width 900. Heading 28 px bold; ten lines of 24 px, one per gate, from top 440 at a 36 px pitch.</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Gate note at 18 px, left 100, top 810, width 900: “Sale is blocked until Gates 1, 2, 7 and 9 pass. A pilot batch also needs Gates 3 to 6 and 8.”</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Stop rules, middle right: left 1060, width 760, top 390. Heading 28 px bold; six rules at 24 px.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Ask bar: rectangle with black fill and white 24 px text, left 100, top 880, width 1720, height 100.</w:t>
      </w:r>
    </w:p>
    <w:p>
      <w:pPr>
        <w:keepNext w:val="false"/>
        <w:spacing w:after="120" w:before="0"/>
      </w:pPr>
      <w:r>
        <w:rPr>
          <w:rFonts w:ascii="Times New Roman" w:cs="Times New Roman" w:eastAsia="Times New Roman" w:hAnsi="Times New Roman"/>
          <w:b/>
          <w:bCs/>
          <w:i w:val="false"/>
          <w:iCs w:val="false"/>
          <w:color w:val="000000"/>
          <w:sz w:val="24"/>
          <w:szCs w:val="24"/>
        </w:rPr>
        <w:t xml:space="preserve">Speaker note: </w:t>
      </w:r>
      <w:r>
        <w:rPr>
          <w:rFonts w:ascii="Times New Roman" w:cs="Times New Roman" w:eastAsia="Times New Roman" w:hAnsi="Times New Roman"/>
          <w:b w:val="false"/>
          <w:bCs w:val="false"/>
          <w:i w:val="false"/>
          <w:iCs w:val="false"/>
          <w:color w:val="000000"/>
          <w:sz w:val="24"/>
          <w:szCs w:val="24"/>
        </w:rPr>
        <w:t xml:space="preserve">Gate references start on this slide. Present the timeline and the gates live. Hold the owners table, the stakeholder onion, the settings and the registrations as backup. The pilot runs 13 weeks of trading within Phase 4.</w:t>
      </w:r>
    </w:p>
    <w:p>
      <w:pPr>
        <w:keepNext w:val="false"/>
        <w:spacing w:after="120" w:before="0"/>
      </w:pPr>
      <w:r>
        <w:rPr>
          <w:rFonts w:ascii="Times New Roman" w:cs="Times New Roman" w:eastAsia="Times New Roman" w:hAnsi="Times New Roman"/>
          <w:b/>
          <w:bCs/>
          <w:i w:val="false"/>
          <w:iCs w:val="false"/>
          <w:color w:val="000000"/>
          <w:sz w:val="24"/>
          <w:szCs w:val="24"/>
        </w:rPr>
        <w:t xml:space="preserve">Change from deck_content.md: </w:t>
      </w:r>
      <w:r>
        <w:rPr>
          <w:rFonts w:ascii="Times New Roman" w:cs="Times New Roman" w:eastAsia="Times New Roman" w:hAnsi="Times New Roman"/>
          <w:b w:val="false"/>
          <w:bCs w:val="false"/>
          <w:i w:val="false"/>
          <w:iCs w:val="false"/>
          <w:color w:val="000000"/>
          <w:sz w:val="24"/>
          <w:szCs w:val="24"/>
        </w:rPr>
        <w:t xml:space="preserve">The timeline is drawn as equal boxes, not to scale, so that the phase labels fit at 24 px.</w:t>
      </w:r>
    </w:p>
    <w:p>
      <w:pPr>
        <w:pStyle w:val="Heading1"/>
        <w:keepNext/>
        <w:spacing w:after="120" w:before="360"/>
      </w:pPr>
      <w:r>
        <w:rPr>
          <w:rFonts w:ascii="Times New Roman" w:cs="Times New Roman" w:eastAsia="Times New Roman" w:hAnsi="Times New Roman"/>
          <w:b/>
          <w:bCs/>
          <w:color w:val="000000"/>
          <w:sz w:val="32"/>
          <w:szCs w:val="32"/>
        </w:rPr>
        <w:t xml:space="preserve">5. Appendix (backup)</w:t>
      </w:r>
    </w:p>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The appendices are not on the outline. They follow slide 13 as backup. The text is taken from deck_content.md.</w:t>
      </w:r>
    </w:p>
    <w:p>
      <w:pPr>
        <w:pStyle w:val="Heading2"/>
        <w:keepNext/>
        <w:spacing w:after="120" w:before="240"/>
      </w:pPr>
      <w:r>
        <w:rPr>
          <w:rFonts w:ascii="Times New Roman" w:cs="Times New Roman" w:eastAsia="Times New Roman" w:hAnsi="Times New Roman"/>
          <w:b/>
          <w:bCs/>
          <w:color w:val="000000"/>
          <w:sz w:val="28"/>
          <w:szCs w:val="28"/>
        </w:rPr>
        <w:t xml:space="preserve">Appendix A. Label rules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Ingredient list, as fact: potassium bicarbonate, citric acid, sucralose, mannitol and lemon flavour. No sodium salt, no sodium carbonate, no lubricant.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May say: “Drop one cube into 330 ml of water and stir.” “Serving: one cube made up to 330 ml.” “Single-serve pouch.” “Contains an intensive sweetener: sucralose.” Net weight as a specification, verified by weighing before print. Potassium only where the Thai panel requires it.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Required declarations: the Thai nutrition and GDA panels, with sodium and potassium shown. These are declarations, not claims.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Barred: sugar-free, zero-sugar, no-added-sugar; sodium-free, low-sodium, very-low-sodium; health, function, electrolyte, hydration and potassium-benefit; calorie; certification and award wording.</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Held until the brand ruling or a legal review: “no salt added”; novelty words; fizz, sparkling and bubbles until a measured test exists; lemon fruit imagery, glassware and bottle shape; alcohol cues; the lion or SINGHA beyond this proposal.</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Sodium, basis: the recipe has no sodium salt. Sodium from the recipe is 0 to about 2 mg a serve. Water adds 0 to about 7 mg at the WHO typical level, or about 33 to 68 mg at the level reported for Thai tap water. These are calculations; nothing has been measured.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Label box (from slide 7): “Drop one cube into 330 ml of water and stir.” “Serving: one cube made up to 330 ml.” “Contains an intensive sweetener: sucralose (working choice).” “Single-serve pouch.” “Net weight 3.8 g (specification, verified by weighing before print).” No sugar-free, health, hydration, sodium-free or fizz claim is printed.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Desk chemistry (from slide 7): pH about 3.4 to 3.5 (working pH 3.5). Sweetness about 10 g of sugar equivalent per 100 ml at 55 mg of sucralose (assumption).</w:t>
      </w:r>
    </w:p>
    <w:p>
      <w:pPr>
        <w:pStyle w:val="Heading2"/>
        <w:keepNext/>
        <w:spacing w:after="120" w:before="240"/>
      </w:pPr>
      <w:r>
        <w:rPr>
          <w:rFonts w:ascii="Times New Roman" w:cs="Times New Roman" w:eastAsia="Times New Roman" w:hAnsi="Times New Roman"/>
          <w:b/>
          <w:bCs/>
          <w:color w:val="000000"/>
          <w:sz w:val="28"/>
          <w:szCs w:val="28"/>
        </w:rPr>
        <w:t xml:space="preserve">Appendix B. Valuation grids (NPV in THB million; negative in brackets)</w:t>
      </w:r>
    </w:p>
    <w:p>
      <w:pPr>
        <w:keepNext w:val="false"/>
        <w:spacing w:after="120" w:before="0"/>
      </w:pPr>
      <w:r>
        <w:rPr>
          <w:rFonts w:ascii="Times New Roman" w:cs="Times New Roman" w:eastAsia="Times New Roman" w:hAnsi="Times New Roman"/>
          <w:b/>
          <w:bCs/>
          <w:i w:val="false"/>
          <w:iCs w:val="false"/>
          <w:color w:val="000000"/>
          <w:sz w:val="24"/>
          <w:szCs w:val="24"/>
        </w:rPr>
        <w:t xml:space="preserve">B1. After excise and tax (contribution THB 3.94 a cube), at THB 500,000 fixed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Cubes a year</w:t>
            </w:r>
          </w:p>
        </w:tc>
        <w:tc>
          <w:tcPr>
            <w:tcW w:type="dxa" w:w="300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NPV</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50,000</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(1.41)</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184,325 (break-even, no cannibalisation)</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0.00</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200,000 (base)</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0.17</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500,000</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3.32</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1,000,000</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8.59</w:t>
            </w:r>
          </w:p>
        </w:tc>
      </w:tr>
    </w:tbl>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
      </w:r>
    </w:p>
    <w:p>
      <w:pPr>
        <w:keepNext w:val="false"/>
        <w:spacing w:after="120" w:before="0"/>
      </w:pPr>
      <w:r>
        <w:rPr>
          <w:rFonts w:ascii="Times New Roman" w:cs="Times New Roman" w:eastAsia="Times New Roman" w:hAnsi="Times New Roman"/>
          <w:b/>
          <w:bCs/>
          <w:i w:val="false"/>
          <w:iCs w:val="false"/>
          <w:color w:val="000000"/>
          <w:sz w:val="24"/>
          <w:szCs w:val="24"/>
        </w:rPr>
        <w:t xml:space="preserve">B2. Before excise and tax (planning price THB 9.00; contribution THB 4.91 a cube)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Cubes a year</w:t>
            </w:r>
          </w:p>
        </w:tc>
        <w:tc>
          <w:tcPr>
            <w:tcW w:type="dxa" w:w="3000"/>
            <w:shd w:fill="E6E6E6" w:color="auto" w:val="clear"/>
            <w:tcMar>
              <w:top w:type="dxa" w:w="60"/>
              <w:left w:type="dxa" w:w="100"/>
              <w:bottom w:type="dxa" w:w="60"/>
              <w:right w:type="dxa" w:w="100"/>
            </w:tcMar>
          </w:tcPr>
          <w:p>
            <w:r>
              <w:rPr>
                <w:rFonts w:ascii="Times New Roman" w:cs="Times New Roman" w:eastAsia="Times New Roman" w:hAnsi="Times New Roman"/>
                <w:b/>
                <w:bCs/>
                <w:color w:val="000000"/>
                <w:sz w:val="22"/>
                <w:szCs w:val="22"/>
              </w:rPr>
              <w:t xml:space="preserve">NPV</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50,000</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(1.58)</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146,230 (break-even)</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0.00</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200,000 (base)</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0.88</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500,000</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5.80</w:t>
            </w:r>
          </w:p>
        </w:tc>
      </w:tr>
      <w:tr>
        <w:tc>
          <w:tcPr>
            <w:tcW w:type="dxa" w:w="636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1,000,000</w:t>
            </w:r>
          </w:p>
        </w:tc>
        <w:tc>
          <w:tcPr>
            <w:tcW w:type="dxa" w:w="3000"/>
            <w:tcMar>
              <w:top w:type="dxa" w:w="60"/>
              <w:left w:type="dxa" w:w="100"/>
              <w:bottom w:type="dxa" w:w="60"/>
              <w:right w:type="dxa" w:w="100"/>
            </w:tcMar>
          </w:tcPr>
          <w:p>
            <w:r>
              <w:rPr>
                <w:rFonts w:ascii="Times New Roman" w:cs="Times New Roman" w:eastAsia="Times New Roman" w:hAnsi="Times New Roman"/>
                <w:b w:val="false"/>
                <w:bCs w:val="false"/>
                <w:color w:val="000000"/>
                <w:sz w:val="22"/>
                <w:szCs w:val="22"/>
              </w:rPr>
              <w:t xml:space="preserve">13.99</w:t>
            </w:r>
          </w:p>
        </w:tc>
      </w:tr>
    </w:tbl>
    <w:p>
      <w:pPr>
        <w:keepNext w:val="false"/>
        <w:spacing w:after="120" w:before="120"/>
      </w:pPr>
      <w:r>
        <w:rPr>
          <w:rFonts w:ascii="Times New Roman" w:cs="Times New Roman" w:eastAsia="Times New Roman" w:hAnsi="Times New Roman"/>
          <w:b w:val="false"/>
          <w:bCs w:val="false"/>
          <w:i w:val="false"/>
          <w:iCs w:val="false"/>
          <w:color w:val="000000"/>
          <w:sz w:val="24"/>
          <w:szCs w:val="24"/>
        </w:rPr>
        <w:t xml:space="preserve">Chance of a positive NPV: 0.26 after excise and tax; 0.40 before excise and tax; 0.58 on a simpler structure. Five years, 10% discount rate (assumption), no terminal value, tax 20%. Year 0 carries one year of fixed cost; year 1 sells half of the base volume (assumptions).</w:t>
      </w:r>
    </w:p>
    <w:p>
      <w:pPr>
        <w:pStyle w:val="Heading2"/>
        <w:keepNext/>
        <w:spacing w:after="120" w:before="240"/>
      </w:pPr>
      <w:r>
        <w:rPr>
          <w:rFonts w:ascii="Times New Roman" w:cs="Times New Roman" w:eastAsia="Times New Roman" w:hAnsi="Times New Roman"/>
          <w:b/>
          <w:bCs/>
          <w:color w:val="000000"/>
          <w:sz w:val="28"/>
          <w:szCs w:val="28"/>
        </w:rPr>
        <w:t xml:space="preserve">Appendix C. Sources, tiers and limits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Tiers: P, a regulator's text read in full, a company's own filing or release read in full, official statistics, or a primary database. S, any other source read and opened, including a company page read through an extract. SOURCED, the page text was read and its public URL is given. DERIVED, our arithmetic. PROXY, a stand-in for an unmeasured value. ASSUMPTION, a value chosen for the model. COMPANY CLAIM, a statement the company makes about itself. OUT OF SCOPE, outside the desk model's boundary; not claimed in this proposal.</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Principal sources: Singha Lemon Soda product pages (S, company); Thai FDA Notification 195 (P, read in full from page images); Notification 445 Annex 3 (P, English translation); Notification 468 (S, flavoured-drink rows read in part); Royal Gazette B.E. 2560 sugar-drink excise schedule (P as saved); Bank of Thailand rate of 15 October 2026 (P as saved); Bank of Thailand policy decision of 26 August 2026 (S); Revenue Department corporate income tax page (S); Ricola release, 5 June 2025 (P); NielsenIQ values as printed by the press (S); Kantar, Mintel, Innova and Phoenix Media as cited (S); retailer listings read on 20 October 2026 (S); CP ALL 2025 company snapshot (P); USDA FoodData Central (P).</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Stated limits (out of scope): no store shelf price, no current volume after 2022 and no product margin for Singha Lemon Soda; no buyer profile; the sweetener is named only on the company page; the Thai trademark register was not reachable, so the owner of the SINGHA mark in Thailand is unconfirmed; the annex edition, the condition 127 wording and the other sub-category rows of Notification 468 are outside the reading; the class of the cube under Notification 195 is decided by the regulatory opinion; the cube's excise classification is an assumption; the binder and flavour are not priced; the cube's cost rests on China ex-works listings, not Thai landed prices; the market values are press relays with no stated level; no clinician has reviewed the serve or the wording; creator fees are proxies, and no Thai creator rate card was found.</w:t>
      </w:r>
    </w:p>
    <w:p>
      <w:pPr>
        <w:pStyle w:val="Heading2"/>
        <w:keepNext/>
        <w:spacing w:after="120" w:before="240"/>
      </w:pPr>
      <w:r>
        <w:rPr>
          <w:rFonts w:ascii="Times New Roman" w:cs="Times New Roman" w:eastAsia="Times New Roman" w:hAnsi="Times New Roman"/>
          <w:b/>
          <w:bCs/>
          <w:color w:val="000000"/>
          <w:sz w:val="28"/>
          <w:szCs w:val="28"/>
        </w:rPr>
        <w:t xml:space="preserve">Appendix D. Creator campaign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Slide text: a creator pilot tests first purchases and repeat before any paid media is scaled. Nine creators (four mid-tier and five mega-tier channels) over 13 weeks. Each creator receives a product kit and a commission per carton sold through a unique code. The offers are commission-led; no flat fee is committed. Every post carries a paid-partnership label and uses approved wording. No post shows alcohol, a drinking occasion or a health claim.</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Budget (THB): creator kits 442 (nine creators, 12 cubes each, at THB 4.09 a cube); commission cap 4,000 (500 cartons at THB 8.00 a carton sold through a creator code); Route A 18,000; contingency 10%; committed total 24,686. Conditional: a learning tranche of 20,000 for paid social, released after the week 4 read if the non-paid click-to-first-purchase rate is at least 1.0%; a scale tranche of 40,000, released at week 8 if the cost per first purchase is at or below THB 27.38. Ceiling 84,686.</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Why flat fees are not used: at the lower-bound benchmark fees (mid-tier 33,550 a post; mega-tier 671,000 a post), the nine creators cost 3,489,200 for one post each. Recovering that from the THB 27.38 contribution per buyer takes about 127,000 buyers, about one million cubes in the pilot, five times the planned annual volume.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Stop rule: creator activity stops at once after a compliance breach not fixed within 24 hours, or after a controversy that cannot be cleared within a week.</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Out of scope: no creator has been contacted or named in this document. If creators refuse commission-only terms, the pilot runs Route A and the conditional paid social only.</w:t>
      </w:r>
    </w:p>
    <w:p>
      <w:pPr>
        <w:pStyle w:val="Heading1"/>
        <w:keepNext/>
        <w:spacing w:after="120" w:before="360"/>
      </w:pPr>
      <w:r>
        <w:rPr>
          <w:rFonts w:ascii="Times New Roman" w:cs="Times New Roman" w:eastAsia="Times New Roman" w:hAnsi="Times New Roman"/>
          <w:b/>
          <w:bCs/>
          <w:color w:val="000000"/>
          <w:sz w:val="32"/>
          <w:szCs w:val="32"/>
        </w:rPr>
        <w:t xml:space="preserve">6. Open items and checks</w:t>
      </w:r>
    </w:p>
    <w:p>
      <w:pPr>
        <w:keepNext w:val="false"/>
        <w:spacing w:after="120" w:before="0"/>
      </w:pPr>
      <w:r>
        <w:rPr>
          <w:rFonts w:ascii="Times New Roman" w:cs="Times New Roman" w:eastAsia="Times New Roman" w:hAnsi="Times New Roman"/>
          <w:b w:val="false"/>
          <w:bCs w:val="false"/>
          <w:i w:val="false"/>
          <w:iCs w:val="false"/>
          <w:color w:val="000000"/>
          <w:sz w:val="24"/>
          <w:szCs w:val="24"/>
        </w:rPr>
        <w:t xml:space="preserve">These points need a decision or a check before the deck is built. Nothing in this list has been applied to the Canva designs.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Confirmed headlines. The confirmed headlines are the page titles on the teammate's Canva design. Pages 6 to 14 hold a title only, with the placeholder subtitle “writing something”, so the body and the sentence headlines are still open. The sentence headlines in this plan are proposed until the team writes them on the pages.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Company overview claims. The confirmed headline on the Company Overview page says Singha Lemon Soda “dominates” Thailand's no-sugar canned soda market. The same page shows market size (about 7,500 MB, 2025F), a CAGR of about 25.3%, a share above 52% and a share of about 12%. None of these figures is in deck_content.md or Appendix C, and deck_content.md places market size out of scope. Either source each figure with its tier and URL, or remove the figures and the dominance claim before the slide is built.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Gap headline. The candidate headline “Traditional Canned Format Dominates Thai Market, Leaving Drink Cubes as an Untapped Opportunity” appears in the design's text layer, but I could not place it on a page, and the Marketing Gap Analysis page is blank. Confirm the wording and the page. The proposed sentence headline for slide 4 is the fallback.</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Consumers and competitors. On the teammate's design, consumers and competitors share one page (“Consumer Competitors and Our position”). This plan keeps them as two slides under 2. Market &amp; Competition. Merge them if the team wants one page.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Navigation label. The design's navigation bar reads “Executive plan”. The attached outline reads “Execution Plan”. Rename the label in Canva.</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Substainability tab. Resolved: the five-section outline has no sustainability section, so the tab is removed from the plan. Tell me if a sustainability section is needed.</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Cover name. The design's cover reads “Singha Lemon Soda “Cube””. Our deck calls the product Lemon Soda, and deck_content.md says the name needs a register search before use. Confirm the cover name before the cover is built.</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Executive page figures. The design's executive page shows “4.91 THB” (contribution per cube) and “0.88M THB” (NPV, 5 years at 10%). Both are before-excise figures. The base NPV after excise and tax is THB 0.17 million (Appendix B1). Keep the before-excise label on that page wherever these figures appear.</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Canva format. The teammate's design uses a 1200 by 630 social post format, not the 1920 by 1080 deck format used in this plan. Decide the target format before building. The working deck (DAHYklq8LP0) has seven pages in a different order.</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Typeface. The Canva editing tools cannot set Times New Roman MT. Set it by hand on every new text box, as on the existing pages.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Stata rule. The ranking and valuation figures come from the Python model (rework/screen/ambient_variation_results.json). The standing rule asks for a reproducible Stata script behind any figure. No Stata script exists for these figures. Say whether to produce one.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Footnotes. deck_content.md says “no footers or footnotes on the slides”. This plan uses 18 px notes, which follows the Times New Roman type rule. Confirm whether the notes stay.</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Company facts. The proposer's 2025 net profit (THB 3,085 million) sits in the valuation slide. Move it to the company overview if the team wants it there.</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Page </w:t>
    </w:r>
    <w:r>
      <w:rPr>
        <w:rFonts w:ascii="Times New Roman" w:cs="Times New Roman" w:eastAsia="Times New Roman" w:hAnsi="Times New Roman"/>
        <w:color w:val="000000"/>
        <w:sz w:val="18"/>
        <w:szCs w:val="18"/>
      </w:rPr>
      <w:fldChar w:fldCharType="begin"/>
    </w:r>
    <w:r>
      <w:rPr>
        <w:rFonts w:ascii="Times New Roman" w:cs="Times New Roman" w:eastAsia="Times New Roman" w:hAnsi="Times New Roman"/>
        <w:color w:val="000000"/>
        <w:sz w:val="18"/>
        <w:szCs w:val="18"/>
      </w:rPr>
      <w:instrText xml:space="preserve">PAGE</w:instrText>
    </w:r>
    <w:r>
      <w:rPr>
        <w:rFonts w:ascii="Times New Roman" w:cs="Times New Roman" w:eastAsia="Times New Roman" w:hAnsi="Times New Roman"/>
        <w:color w:val="000000"/>
        <w:sz w:val="18"/>
        <w:szCs w:val="18"/>
      </w:rPr>
      <w:fldChar w:fldCharType="separate"/>
    </w:r>
    <w:r>
      <w:rPr>
        <w:rFonts w:ascii="Times New Roman" w:cs="Times New Roman" w:eastAsia="Times New Roman" w:hAnsi="Times New Roman"/>
        <w:color w:val="00000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Lemon Soda: revised deck plan</dc:title>
  <dc:creator>Claude</dc:creator>
  <cp:lastModifiedBy>Un-named</cp:lastModifiedBy>
  <cp:revision>1</cp:revision>
  <dcterms:created xsi:type="dcterms:W3CDTF">2026-10-21T13:24:23.549Z</dcterms:created>
  <dcterms:modified xsi:type="dcterms:W3CDTF">2026-10-21T13:24:23.551Z</dcterms:modified>
</cp:coreProperties>
</file>

<file path=docProps/custom.xml><?xml version="1.0" encoding="utf-8"?>
<Properties xmlns="http://schemas.openxmlformats.org/officeDocument/2006/custom-properties" xmlns:vt="http://schemas.openxmlformats.org/officeDocument/2006/docPropsVTypes"/>
</file>