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pStyle w:val="Title"/>
        <w:jc w:val="center"/>
      </w:pPr>
      <w:r>
        <w:t xml:space="preserve">UNIVERSITY OF CAPE COAST</w:t>
      </w:r>
    </w:p>
    <w:p>
      <w:pPr>
        <w:spacing w:after="300"/>
        <w:jc w:val="center"/>
      </w:pPr>
      <w:r>
        <w:t xml:space="preserve">COLLEGE OF DISTANCE EDUCATION (CoDE)</w:t>
      </w:r>
    </w:p>
    <w:p>
      <w:pPr>
        <w:spacing w:after="300"/>
        <w:jc w:val="center"/>
      </w:pPr>
      <w:r>
        <w:t xml:space="preserve">DEPARTMENT OF SCIENCE AND MATHEMATICS</w:t>
      </w:r>
    </w:p>
    <w:p>
      <w:pPr>
        <w:spacing w:after="100"/>
        <w:jc w:val="center"/>
      </w:pPr>
      <w:r>
        <w:t xml:space="preserve">INF811D: OBJECT ORIENTED PROGRAMMING</w:t>
      </w:r>
    </w:p>
    <w:p>
      <w:pPr>
        <w:spacing w:after="600"/>
        <w:jc w:val="center"/>
      </w:pPr>
      <w:r>
        <w:t xml:space="preserve">MSc Information Technology Programme</w:t>
      </w:r>
    </w:p>
    <w:p>
      <w:pPr>
        <w:spacing w:after="100"/>
        <w:jc w:val="center"/>
      </w:pPr>
      <w:r>
        <w:rPr>
          <w:b/>
          <w:bCs/>
          <w:sz w:val="56"/>
          <w:szCs w:val="56"/>
        </w:rPr>
        <w:t xml:space="preserve">SpendWise</w:t>
      </w:r>
    </w:p>
    <w:p>
      <w:pPr>
        <w:spacing w:after="100"/>
        <w:jc w:val="center"/>
      </w:pPr>
      <w:r>
        <w:rPr>
          <w:sz w:val="32"/>
          <w:szCs w:val="32"/>
        </w:rPr>
        <w:t xml:space="preserve">An Expense Tracking and Budgeting System</w:t>
      </w:r>
    </w:p>
    <w:p>
      <w:pPr>
        <w:spacing w:after="800"/>
        <w:jc w:val="center"/>
      </w:pPr>
      <w:r>
        <w:rPr>
          <w:i/>
          <w:iCs/>
        </w:rPr>
        <w:t xml:space="preserve">Technical Report — Semester 1 Practical Project, 2025/2026 Academic Year</w:t>
      </w:r>
    </w:p>
    <w:p>
      <w:pPr>
        <w:spacing w:after="100"/>
        <w:jc w:val="center"/>
      </w:pPr>
      <w:r>
        <w:t xml:space="preserve">Submitted by: Enock Andoh</w:t>
      </w:r>
    </w:p>
    <w:p>
      <w:pPr>
        <w:spacing w:after="100"/>
        <w:jc w:val="center"/>
      </w:pPr>
      <w:r>
        <w:t xml:space="preserve">GitHub Repository: </w:t>
      </w:r>
      <w:hyperlink w:history="1" r:id="rIdhf93e-n3dvckd2vm_b8li">
        <w:r>
          <w:rPr>
            <w:rStyle w:val="Hyperlink"/>
          </w:rPr>
          <w:t xml:space="preserve">github.com/Blackman88-Gee/spendwise</w:t>
        </w:r>
      </w:hyperlink>
    </w:p>
    <w:p>
      <w:r>
        <w:br w:type="page"/>
      </w:r>
    </w:p>
    <w:p>
      <w:pPr>
        <w:sectPr>
          <w:pgSz w:w="12240" w:h="15840" w:orient="portrait"/>
          <w:pgMar w:top="1440" w:right="1440" w:bottom="1440" w:left="1440" w:header="708" w:footer="708" w:gutter="0"/>
          <w:pgNumType/>
          <w:docGrid w:linePitch="360"/>
        </w:sectPr>
      </w:pPr>
    </w:p>
    <w:p>
      <w:pPr>
        <w:pStyle w:val="Heading1"/>
        <w:spacing w:after="150" w:before="300"/>
      </w:pPr>
      <w:r>
        <w:t xml:space="preserve">1. Introduction</w:t>
      </w:r>
    </w:p>
    <w:p>
      <w:pPr>
        <w:spacing w:after="120"/>
      </w:pPr>
      <w:r>
        <w:t xml:space="preserve">Personal financial management is a persistent challenge for individuals across income levels: it is easy to record what was spent, but hard to understand what that spending actually costs over time. Most basic ledger or expense-tracking tools stop at arithmetic — they show a running total and little else — leaving the user to do the harder work of interpreting whether their habits are sustainable.</w:t>
      </w:r>
    </w:p>
    <w:p>
      <w:pPr>
        <w:spacing w:after="120"/>
      </w:pPr>
      <w:r>
        <w:t xml:space="preserve">SpendWise is a desktop Java application, built with JavaFX and backed by an embedded SQLite database, that goes a step further than a plain ledger. Alongside standard transaction recording, category budgeting, and recurring-bill automation, it includes a dedicated Insight Engine that translates raw transaction data into plain-language feedback about the real, cumulative cost of spending patterns; a note-paste importer that turns a real, informally-written expense journal into reviewable transactions; and support for tracking spending in two currencies (Ghanaian Cedis and US Dollars).</w:t>
      </w:r>
    </w:p>
    <w:p>
      <w:pPr>
        <w:spacing w:after="120"/>
      </w:pPr>
      <w:r>
        <w:t xml:space="preserve">This report documents the problem the system addresses, its design and implementation, how core object-oriented programming principles were applied throughout, and the outcome of the build.</w:t>
      </w:r>
    </w:p>
    <w:p>
      <w:pPr>
        <w:pStyle w:val="Heading1"/>
        <w:spacing w:after="150" w:before="300"/>
      </w:pPr>
      <w:r>
        <w:t xml:space="preserve">2. Problem Statement</w:t>
      </w:r>
    </w:p>
    <w:p>
      <w:pPr>
        <w:spacing w:after="120"/>
      </w:pPr>
      <w:r>
        <w:t xml:space="preserve">Individuals managing personal finances without a structured tool tend to underestimate the cumulative impact of small, frequent expenses and overestimate how much budget "room" remains in a given category. Spreadsheets and basic ledgers require manual discipline to maintain and rarely surface warnings before a budget is broken rather than after. Recurring obligations — subscriptions, rent, utility bills — are often tracked inconsistently, if at all, because re-entering the same transaction every period is tedious and easy to forget.</w:t>
      </w:r>
    </w:p>
    <w:p>
      <w:pPr>
        <w:spacing w:after="120"/>
      </w:pPr>
      <w:r>
        <w:t xml:space="preserve">Many people who do keep informal records already have one, on paper or in a phone notes app, written in whatever shorthand made sense at the time (a date followed by a list of that day's spending, inconsistent separators, personal abbreviations, occasional foreign-currency amounts). A tool that only accepts perfectly-structured input is of little use to someone with months of real, messy notes already written — it needs to meet the data where it is.</w:t>
      </w:r>
    </w:p>
    <w:p>
      <w:pPr>
        <w:spacing w:after="120"/>
      </w:pPr>
      <w:r>
        <w:t xml:space="preserve">There is a need for a lightweight, single-user desktop application that: (a) makes recording transactions fast and validated, (b) enforces category-level budget awareness at the point of spending rather than after the fact, (c) removes the manual burden of recurring transactions, (d) actively interprets spending data rather than just displaying it, and (e) can absorb an existing, informally-written expense record rather than demanding everything be re-typed from scratch.</w:t>
      </w:r>
    </w:p>
    <w:p>
      <w:pPr>
        <w:pStyle w:val="Heading1"/>
        <w:spacing w:after="150" w:before="300"/>
      </w:pPr>
      <w:r>
        <w:t xml:space="preserve">3. Objectives of the System</w:t>
      </w:r>
    </w:p>
    <w:p>
      <w:pPr>
        <w:pStyle w:val="ListParagraph"/>
        <w:numPr>
          <w:ilvl w:val="0"/>
          <w:numId w:val="1"/>
        </w:numPr>
        <w:spacing w:after="60"/>
      </w:pPr>
      <w:r>
        <w:t xml:space="preserve">Provide a GUI-based Java application for recording income and expense transactions with input validation.</w:t>
      </w:r>
    </w:p>
    <w:p>
      <w:pPr>
        <w:pStyle w:val="ListParagraph"/>
        <w:numPr>
          <w:ilvl w:val="0"/>
          <w:numId w:val="1"/>
        </w:numPr>
        <w:spacing w:after="60"/>
      </w:pPr>
      <w:r>
        <w:t xml:space="preserve">Allow users to set monthly budget limits per expense category, with real-time, color-coded visual alerts and a warning shown before an over-budget expense is even saved.</w:t>
      </w:r>
    </w:p>
    <w:p>
      <w:pPr>
        <w:pStyle w:val="ListParagraph"/>
        <w:numPr>
          <w:ilvl w:val="0"/>
          <w:numId w:val="1"/>
        </w:numPr>
        <w:spacing w:after="60"/>
      </w:pPr>
      <w:r>
        <w:t xml:space="preserve">Automate recurring transactions (subscriptions, bills, regular income) so they are generated without manual re-entry.</w:t>
      </w:r>
    </w:p>
    <w:p>
      <w:pPr>
        <w:pStyle w:val="ListParagraph"/>
        <w:numPr>
          <w:ilvl w:val="0"/>
          <w:numId w:val="1"/>
        </w:numPr>
        <w:spacing w:after="60"/>
      </w:pPr>
      <w:r>
        <w:t xml:space="preserve">Generate plain-language "spending harm" insights that go beyond raw totals — overspending relative to income, rising category trends, and projected annual cost of habitual purchases.</w:t>
      </w:r>
    </w:p>
    <w:p>
      <w:pPr>
        <w:pStyle w:val="ListParagraph"/>
        <w:numPr>
          <w:ilvl w:val="0"/>
          <w:numId w:val="1"/>
        </w:numPr>
        <w:spacing w:after="60"/>
      </w:pPr>
      <w:r>
        <w:t xml:space="preserve">Provide visual analytics (a category breakdown pie chart and a six-month income/expense trend chart) for at-a-glance comprehension.</w:t>
      </w:r>
    </w:p>
    <w:p>
      <w:pPr>
        <w:pStyle w:val="ListParagraph"/>
        <w:numPr>
          <w:ilvl w:val="0"/>
          <w:numId w:val="1"/>
        </w:numPr>
        <w:spacing w:after="60"/>
      </w:pPr>
      <w:r>
        <w:t xml:space="preserve">Allow an existing, informally-written expense note to be pasted in and parsed into reviewable, editable transaction candidates, with categories guessed from keywords rather than left blank.</w:t>
      </w:r>
    </w:p>
    <w:p>
      <w:pPr>
        <w:pStyle w:val="ListParagraph"/>
        <w:numPr>
          <w:ilvl w:val="0"/>
          <w:numId w:val="1"/>
        </w:numPr>
        <w:spacing w:after="60"/>
      </w:pPr>
      <w:r>
        <w:t xml:space="preserve">Support recording transactions in more than one currency (GHS and USD) without forcing an inaccurate conversion between them.</w:t>
      </w:r>
    </w:p>
    <w:p>
      <w:pPr>
        <w:pStyle w:val="ListParagraph"/>
        <w:numPr>
          <w:ilvl w:val="0"/>
          <w:numId w:val="1"/>
        </w:numPr>
        <w:spacing w:after="60"/>
      </w:pPr>
      <w:r>
        <w:t xml:space="preserve">Demonstrate strong, correctly-applied object-oriented design: encapsulation, inheritance, polymorphism, and abstraction.</w:t>
      </w:r>
    </w:p>
    <w:p>
      <w:pPr>
        <w:pStyle w:val="ListParagraph"/>
        <w:numPr>
          <w:ilvl w:val="0"/>
          <w:numId w:val="1"/>
        </w:numPr>
        <w:spacing w:after="60"/>
      </w:pPr>
      <w:r>
        <w:t xml:space="preserve">Package and document the system for GitHub deployment with a clear README and commit history.</w:t>
      </w:r>
    </w:p>
    <w:p>
      <w:pPr>
        <w:pStyle w:val="Heading1"/>
        <w:spacing w:after="150" w:before="300"/>
      </w:pPr>
      <w:r>
        <w:t xml:space="preserve">4. Scope of the System</w:t>
      </w:r>
    </w:p>
    <w:p>
      <w:pPr>
        <w:pStyle w:val="Heading2"/>
        <w:spacing w:after="100" w:before="200"/>
      </w:pPr>
      <w:r>
        <w:t xml:space="preserve">In Scope</w:t>
      </w:r>
    </w:p>
    <w:p>
      <w:pPr>
        <w:pStyle w:val="ListParagraph"/>
        <w:numPr>
          <w:ilvl w:val="0"/>
          <w:numId w:val="1"/>
        </w:numPr>
        <w:spacing w:after="60"/>
      </w:pPr>
      <w:r>
        <w:t xml:space="preserve">Single-user, single-machine desktop application (no network/multi-user access).</w:t>
      </w:r>
    </w:p>
    <w:p>
      <w:pPr>
        <w:pStyle w:val="ListParagraph"/>
        <w:numPr>
          <w:ilvl w:val="0"/>
          <w:numId w:val="1"/>
        </w:numPr>
        <w:spacing w:after="60"/>
      </w:pPr>
      <w:r>
        <w:t xml:space="preserve">Manual entry of income and expense transactions, with category, currency, and date assignment.</w:t>
      </w:r>
    </w:p>
    <w:p>
      <w:pPr>
        <w:pStyle w:val="ListParagraph"/>
        <w:numPr>
          <w:ilvl w:val="0"/>
          <w:numId w:val="1"/>
        </w:numPr>
        <w:spacing w:after="60"/>
      </w:pPr>
      <w:r>
        <w:t xml:space="preserve">Per-category monthly budgets with usage tracking and alerting, tracked in GHS.</w:t>
      </w:r>
    </w:p>
    <w:p>
      <w:pPr>
        <w:pStyle w:val="ListParagraph"/>
        <w:numPr>
          <w:ilvl w:val="0"/>
          <w:numId w:val="1"/>
        </w:numPr>
        <w:spacing w:after="60"/>
      </w:pPr>
      <w:r>
        <w:t xml:space="preserve">Recurring transaction rules (daily/weekly/monthly) that materialize into real transactions automatically.</w:t>
      </w:r>
    </w:p>
    <w:p>
      <w:pPr>
        <w:pStyle w:val="ListParagraph"/>
        <w:numPr>
          <w:ilvl w:val="0"/>
          <w:numId w:val="1"/>
        </w:numPr>
        <w:spacing w:after="60"/>
      </w:pPr>
      <w:r>
        <w:t xml:space="preserve">A free-text note importer that recognizes dates (including a date sharing a line with that day's first entry) and per-line expenses, with an editable review step before anything is saved.</w:t>
      </w:r>
    </w:p>
    <w:p>
      <w:pPr>
        <w:pStyle w:val="ListParagraph"/>
        <w:numPr>
          <w:ilvl w:val="0"/>
          <w:numId w:val="1"/>
        </w:numPr>
        <w:spacing w:after="60"/>
      </w:pPr>
      <w:r>
        <w:t xml:space="preserve">Two-currency support (GHS/USD) per transaction, with GHS treated as the primary currency for budgeting and analytics.</w:t>
      </w:r>
    </w:p>
    <w:p>
      <w:pPr>
        <w:pStyle w:val="ListParagraph"/>
        <w:numPr>
          <w:ilvl w:val="0"/>
          <w:numId w:val="1"/>
        </w:numPr>
        <w:spacing w:after="60"/>
      </w:pPr>
      <w:r>
        <w:t xml:space="preserve">Local persistence via an embedded SQLite database file, with in-place schema migration for existing data.</w:t>
      </w:r>
    </w:p>
    <w:p>
      <w:pPr>
        <w:pStyle w:val="ListParagraph"/>
        <w:numPr>
          <w:ilvl w:val="0"/>
          <w:numId w:val="1"/>
        </w:numPr>
        <w:spacing w:after="60"/>
      </w:pPr>
      <w:r>
        <w:t xml:space="preserve">CSV export of the currently filtered transaction list.</w:t>
      </w:r>
    </w:p>
    <w:p>
      <w:pPr>
        <w:pStyle w:val="ListParagraph"/>
        <w:numPr>
          <w:ilvl w:val="0"/>
          <w:numId w:val="1"/>
        </w:numPr>
        <w:spacing w:after="60"/>
      </w:pPr>
      <w:r>
        <w:t xml:space="preserve">Chart-based analytics and a rule-based spending-insight engine.</w:t>
      </w:r>
    </w:p>
    <w:p>
      <w:pPr>
        <w:pStyle w:val="Heading2"/>
        <w:spacing w:after="100" w:before="200"/>
      </w:pPr>
      <w:r>
        <w:t xml:space="preserve">Out of Scope</w:t>
      </w:r>
    </w:p>
    <w:p>
      <w:pPr>
        <w:pStyle w:val="ListParagraph"/>
        <w:numPr>
          <w:ilvl w:val="0"/>
          <w:numId w:val="1"/>
        </w:numPr>
        <w:spacing w:after="60"/>
      </w:pPr>
      <w:r>
        <w:t xml:space="preserve">Multi-user accounts, authentication, or networked/cloud access.</w:t>
      </w:r>
    </w:p>
    <w:p>
      <w:pPr>
        <w:pStyle w:val="ListParagraph"/>
        <w:numPr>
          <w:ilvl w:val="0"/>
          <w:numId w:val="1"/>
        </w:numPr>
        <w:spacing w:after="60"/>
      </w:pPr>
      <w:r>
        <w:t xml:space="preserve">Live bank feed or statement import/integration.</w:t>
      </w:r>
    </w:p>
    <w:p>
      <w:pPr>
        <w:pStyle w:val="ListParagraph"/>
        <w:numPr>
          <w:ilvl w:val="0"/>
          <w:numId w:val="1"/>
        </w:numPr>
        <w:spacing w:after="60"/>
      </w:pPr>
      <w:r>
        <w:t xml:space="preserve">Automatic currency conversion using live or user-defined exchange rates (the two currencies are tracked independently rather than converted).</w:t>
      </w:r>
    </w:p>
    <w:p>
      <w:pPr>
        <w:pStyle w:val="ListParagraph"/>
        <w:numPr>
          <w:ilvl w:val="0"/>
          <w:numId w:val="1"/>
        </w:numPr>
        <w:spacing w:after="60"/>
      </w:pPr>
      <w:r>
        <w:t xml:space="preserve">Mobile companion application.</w:t>
      </w:r>
    </w:p>
    <w:p>
      <w:pPr>
        <w:pStyle w:val="Heading1"/>
        <w:spacing w:after="150" w:before="300"/>
      </w:pPr>
      <w:r>
        <w:t xml:space="preserve">5. Methodology</w:t>
      </w:r>
    </w:p>
    <w:p>
      <w:pPr>
        <w:spacing w:after="120"/>
      </w:pPr>
      <w:r>
        <w:t xml:space="preserve">The system was built iteratively in clearly separated phases, each compiled and smoke-tested before the next began, so that defects were caught close to the change that introduced them rather than at the end of the project:</w:t>
      </w:r>
    </w:p>
    <w:p>
      <w:pPr>
        <w:pStyle w:val="ListParagraph"/>
        <w:numPr>
          <w:ilvl w:val="0"/>
          <w:numId w:val="1"/>
        </w:numPr>
        <w:spacing w:after="60"/>
      </w:pPr>
      <w:r>
        <w:t xml:space="preserve">Phase 1 — Project scaffolding: Maven/JavaFX project setup, SQLite schema initialization, and a sidebar-navigation shell.</w:t>
      </w:r>
    </w:p>
    <w:p>
      <w:pPr>
        <w:pStyle w:val="ListParagraph"/>
        <w:numPr>
          <w:ilvl w:val="0"/>
          <w:numId w:val="1"/>
        </w:numPr>
        <w:spacing w:after="60"/>
      </w:pPr>
      <w:r>
        <w:t xml:space="preserve">Phase 2 — Domain model and persistence layer: the Transaction hierarchy, Category, Budget, and RecurringRule classes, repository interfaces and their SQLite implementations, and custom exceptions — verified independently of the GUI with JUnit 5 tests.</w:t>
      </w:r>
    </w:p>
    <w:p>
      <w:pPr>
        <w:pStyle w:val="ListParagraph"/>
        <w:numPr>
          <w:ilvl w:val="0"/>
          <w:numId w:val="1"/>
        </w:numPr>
        <w:spacing w:after="60"/>
      </w:pPr>
      <w:r>
        <w:t xml:space="preserve">Phase 3 — Transactions CRUD screen and Dashboard.</w:t>
      </w:r>
    </w:p>
    <w:p>
      <w:pPr>
        <w:pStyle w:val="ListParagraph"/>
        <w:numPr>
          <w:ilvl w:val="0"/>
          <w:numId w:val="1"/>
        </w:numPr>
        <w:spacing w:after="60"/>
      </w:pPr>
      <w:r>
        <w:t xml:space="preserve">Phase 4 — Budgets screen with color-coded alerts, and the Recurring Transactions manager.</w:t>
      </w:r>
    </w:p>
    <w:p>
      <w:pPr>
        <w:pStyle w:val="ListParagraph"/>
        <w:numPr>
          <w:ilvl w:val="0"/>
          <w:numId w:val="1"/>
        </w:numPr>
        <w:spacing w:after="60"/>
      </w:pPr>
      <w:r>
        <w:t xml:space="preserve">Phase 5 — Analytics screen: category pie chart, six-month trend chart, and the Insight Engine.</w:t>
      </w:r>
    </w:p>
    <w:p>
      <w:pPr>
        <w:pStyle w:val="ListParagraph"/>
        <w:numPr>
          <w:ilvl w:val="0"/>
          <w:numId w:val="1"/>
        </w:numPr>
        <w:spacing w:after="60"/>
      </w:pPr>
      <w:r>
        <w:t xml:space="preserve">Phase 6 — CSV export.</w:t>
      </w:r>
    </w:p>
    <w:p>
      <w:pPr>
        <w:pStyle w:val="ListParagraph"/>
        <w:numPr>
          <w:ilvl w:val="0"/>
          <w:numId w:val="1"/>
        </w:numPr>
        <w:spacing w:after="60"/>
      </w:pPr>
      <w:r>
        <w:t xml:space="preserve">Phase 7 — Polish pass: a global uncaught-exception handler and empty-state handling.</w:t>
      </w:r>
    </w:p>
    <w:p>
      <w:pPr>
        <w:pStyle w:val="ListParagraph"/>
        <w:numPr>
          <w:ilvl w:val="0"/>
          <w:numId w:val="1"/>
        </w:numPr>
        <w:spacing w:after="60"/>
      </w:pPr>
      <w:r>
        <w:t xml:space="preserve">Phase 8 — GitHub deployment with a documented, phase-aligned commit history.</w:t>
      </w:r>
    </w:p>
    <w:p>
      <w:pPr>
        <w:pStyle w:val="ListParagraph"/>
        <w:numPr>
          <w:ilvl w:val="0"/>
          <w:numId w:val="1"/>
        </w:numPr>
        <w:spacing w:after="60"/>
      </w:pPr>
      <w:r>
        <w:t xml:space="preserve">Phase 9 — Visual redesign: replaced default JavaFX chart colors and a generic accent palette with a deliberate color system, and fixed empty-state rendering issues.</w:t>
      </w:r>
    </w:p>
    <w:p>
      <w:pPr>
        <w:pStyle w:val="ListParagraph"/>
        <w:numPr>
          <w:ilvl w:val="0"/>
          <w:numId w:val="1"/>
        </w:numPr>
        <w:spacing w:after="60"/>
      </w:pPr>
      <w:r>
        <w:t xml:space="preserve">Phase 10 — Note-paste importer: built against a real, messy expense note rather than an idealized format, then iterated twice more after testing surfaced ordinal dates sharing a line with their first entry, "="-separated fields, comma-thousands amounts, and parenthetical asides that were being misread as the transaction amount.</w:t>
      </w:r>
    </w:p>
    <w:p>
      <w:pPr>
        <w:pStyle w:val="ListParagraph"/>
        <w:numPr>
          <w:ilvl w:val="0"/>
          <w:numId w:val="1"/>
        </w:numPr>
        <w:spacing w:after="60"/>
      </w:pPr>
      <w:r>
        <w:t xml:space="preserve">Phase 11 — Multi-currency support: added a Currency enum, migrated the existing SQLite schema in place (existing rows defaulted to GHS with no data loss), and updated every screen, the CSV export, and the importer to be currency-aware, while deliberately keeping budgets and insights GHS-only.</w:t>
      </w:r>
    </w:p>
    <w:p>
      <w:pPr>
        <w:spacing w:after="120"/>
      </w:pPr>
      <w:r>
        <w:t xml:space="preserve">A recurring theme from Phase 9 onward was that real usage — testing the importer against an actual handwritten-style expense note rather than a clean example — surfaced parsing assumptions that a synthetic test case would not have caught. Each round of feedback was verified with new automated tests before being folded back into the running application.</w:t>
      </w:r>
    </w:p>
    <w:p>
      <w:pPr>
        <w:spacing w:after="120"/>
      </w:pPr>
      <w:r>
        <w:t xml:space="preserve">Tools and technologies used: Java 21 (LTS), JavaFX 21, Maven with the javafx-maven-plugin, SQLite via the sqlite-jdbc driver, JUnit 5 for automated testing, IntelliJ IDEA Community as the development environment, and Git/GitHub for version control.</w:t>
      </w:r>
    </w:p>
    <w:p>
      <w:pPr>
        <w:pStyle w:val="Heading1"/>
        <w:spacing w:after="150" w:before="300"/>
      </w:pPr>
      <w:r>
        <w:t xml:space="preserve">6. System Design</w:t>
      </w:r>
    </w:p>
    <w:p>
      <w:pPr>
        <w:spacing w:after="120"/>
      </w:pPr>
      <w:r>
        <w:t xml:space="preserve">SpendWise follows a layered architecture that separates concerns cleanly, making each layer independently testable:</w:t>
      </w:r>
    </w:p>
    <w:p>
      <w:pPr>
        <w:pStyle w:val="ListParagraph"/>
        <w:numPr>
          <w:ilvl w:val="0"/>
          <w:numId w:val="1"/>
        </w:numPr>
        <w:spacing w:after="60"/>
      </w:pPr>
      <w:r>
        <w:t xml:space="preserve">model — plain domain classes with no framework dependencies (Transaction, Income, Expense, Category, Currency, Budget, RecurringRule, Insight).</w:t>
      </w:r>
    </w:p>
    <w:p>
      <w:pPr>
        <w:pStyle w:val="ListParagraph"/>
        <w:numPr>
          <w:ilvl w:val="0"/>
          <w:numId w:val="1"/>
        </w:numPr>
        <w:spacing w:after="60"/>
      </w:pPr>
      <w:r>
        <w:t xml:space="preserve">dao — repository interfaces (TransactionRepository, CategoryRepository, BudgetRepository, RecurringRuleRepository) and their SQLite-backed implementations, plus DatabaseManager for schema setup, in-place migration, and connections.</w:t>
      </w:r>
    </w:p>
    <w:p>
      <w:pPr>
        <w:pStyle w:val="ListParagraph"/>
        <w:numPr>
          <w:ilvl w:val="0"/>
          <w:numId w:val="1"/>
        </w:numPr>
        <w:spacing w:after="60"/>
      </w:pPr>
      <w:r>
        <w:t xml:space="preserve">service — business logic that sits above raw persistence: BudgetService (budget-usage calculations and pre-save validation, GHS-only), RecurringTransactionService (turning due rules into transactions), InsightEngine (the spending-harm analytics, GHS-only), ExportService (CSV generation), and ImportService (parsing pasted notes into transaction candidates — pure logic with no JavaFX dependency, so it is unit-testable on its own).</w:t>
      </w:r>
    </w:p>
    <w:p>
      <w:pPr>
        <w:pStyle w:val="ListParagraph"/>
        <w:numPr>
          <w:ilvl w:val="0"/>
          <w:numId w:val="1"/>
        </w:numPr>
        <w:spacing w:after="60"/>
      </w:pPr>
      <w:r>
        <w:t xml:space="preserve">controller — JavaFX controllers bound to FXML views, one per screen, which orchestrate repositories/services and handle user events.</w:t>
      </w:r>
    </w:p>
    <w:p>
      <w:pPr>
        <w:spacing w:after="120"/>
      </w:pPr>
      <w:r>
        <w:t xml:space="preserve">Data flows in one direction on read (Controller → Service/Repository → SQLite → back up) and is validated at two layers on write: the GUI form performs basic input parsing, and the domain model constructors perform the authoritative business-rule validation, throwing a checked ValidationException if a rule is broken. This means the same validation guarantees hold even if a new UI screen or a future API were added on top of the same model classes. The importer follows the same pattern one level higher: ImportService only ever produces candidate data (a ParsedExpense record); the same Income/Expense constructors used everywhere else are what actually validate and create a transaction when the user confirms the import.</w:t>
      </w:r>
    </w:p>
    <w:p>
      <w:pPr>
        <w:pStyle w:val="Heading1"/>
        <w:spacing w:after="150" w:before="300"/>
      </w:pPr>
      <w:r>
        <w:t xml:space="preserve">7. Description of Classes and Methods</w:t>
      </w:r>
    </w:p>
    <w:p>
      <w:pPr>
        <w:pStyle w:val="Heading2"/>
        <w:spacing w:after="100" w:before="200"/>
      </w:pPr>
      <w:r>
        <w:t xml:space="preserve">Model Layer</w:t>
      </w:r>
    </w:p>
    <w:p>
      <w:pPr>
        <w:pStyle w:val="ListParagraph"/>
        <w:numPr>
          <w:ilvl w:val="0"/>
          <w:numId w:val="1"/>
        </w:numPr>
        <w:spacing w:after="60"/>
      </w:pPr>
      <w:r>
        <w:t xml:space="preserve">Transaction (abstract) — id, amount, currency, description, category, date, optional recurringRuleId. Validates amount &gt; 0, non-blank description, non-null category, and non-future date in its constructor. Declares the abstract signedAmount() method.</w:t>
      </w:r>
    </w:p>
    <w:p>
      <w:pPr>
        <w:pStyle w:val="ListParagraph"/>
        <w:numPr>
          <w:ilvl w:val="0"/>
          <w:numId w:val="1"/>
        </w:numPr>
        <w:spacing w:after="60"/>
      </w:pPr>
      <w:r>
        <w:t xml:space="preserve">Income / Expense — concrete subclasses of Transaction. Each enforces that its Category matches its own type (an Income cannot use an expense category and vice versa) and implements signedAmount() as +amount or −amount respectively. Each also offers a convenience constructor that defaults currency to GHS, so existing call sites did not need to change when currency support was added.</w:t>
      </w:r>
    </w:p>
    <w:p>
      <w:pPr>
        <w:pStyle w:val="ListParagraph"/>
        <w:numPr>
          <w:ilvl w:val="0"/>
          <w:numId w:val="1"/>
        </w:numPr>
        <w:spacing w:after="60"/>
      </w:pPr>
      <w:r>
        <w:t xml:space="preserve">Currency — an enum (GHS, USD) carrying its own display symbol and a format(double) method, so every screen renders amounts consistently without duplicating symbol logic.</w:t>
      </w:r>
    </w:p>
    <w:p>
      <w:pPr>
        <w:pStyle w:val="ListParagraph"/>
        <w:numPr>
          <w:ilvl w:val="0"/>
          <w:numId w:val="1"/>
        </w:numPr>
        <w:spacing w:after="60"/>
      </w:pPr>
      <w:r>
        <w:t xml:space="preserve">Category — name, TransactionType (INCOME/EXPENSE), and a display color; equality is based on id.</w:t>
      </w:r>
    </w:p>
    <w:p>
      <w:pPr>
        <w:pStyle w:val="ListParagraph"/>
        <w:numPr>
          <w:ilvl w:val="0"/>
          <w:numId w:val="1"/>
        </w:numPr>
        <w:spacing w:after="60"/>
      </w:pPr>
      <w:r>
        <w:t xml:space="preserve">Budget — a category, a monthly limit, and an alert-threshold percentage; exposes usagePercent(), remaining(), isNearLimit(), and isOverBudget() given a "spent so far" figure.</w:t>
      </w:r>
    </w:p>
    <w:p>
      <w:pPr>
        <w:pStyle w:val="ListParagraph"/>
        <w:numPr>
          <w:ilvl w:val="0"/>
          <w:numId w:val="1"/>
        </w:numPr>
        <w:spacing w:after="60"/>
      </w:pPr>
      <w:r>
        <w:t xml:space="preserve">RecurringRule — a template for a future transaction (type, amount, currency, description, category, frequency, next due date, active flag) with computeNextDueDate() advancing the date by the rule's frequency.</w:t>
      </w:r>
    </w:p>
    <w:p>
      <w:pPr>
        <w:pStyle w:val="ListParagraph"/>
        <w:numPr>
          <w:ilvl w:val="0"/>
          <w:numId w:val="1"/>
        </w:numPr>
        <w:spacing w:after="60"/>
      </w:pPr>
      <w:r>
        <w:t xml:space="preserve">Insight — a severity (INFO/WARNING/CRITICAL) and a message produced by the InsightEngine.</w:t>
      </w:r>
    </w:p>
    <w:p>
      <w:pPr>
        <w:pStyle w:val="Heading2"/>
        <w:spacing w:after="100" w:before="200"/>
      </w:pPr>
      <w:r>
        <w:t xml:space="preserve">Persistence Layer (dao)</w:t>
      </w:r>
    </w:p>
    <w:p>
      <w:pPr>
        <w:pStyle w:val="ListParagraph"/>
        <w:numPr>
          <w:ilvl w:val="0"/>
          <w:numId w:val="1"/>
        </w:numPr>
        <w:spacing w:after="60"/>
      </w:pPr>
      <w:r>
        <w:t xml:space="preserve">Four repository interfaces define the contract for each entity; SqliteTransactionRepository, SqliteCategoryRepository, SqliteBudgetRepository, and SqliteRecurringRuleRepository implement them against the embedded database, translating SQLException into an unchecked DataAccessException at the boundary.</w:t>
      </w:r>
    </w:p>
    <w:p>
      <w:pPr>
        <w:pStyle w:val="ListParagraph"/>
        <w:numPr>
          <w:ilvl w:val="0"/>
          <w:numId w:val="1"/>
        </w:numPr>
        <w:spacing w:after="60"/>
      </w:pPr>
      <w:r>
        <w:t xml:space="preserve">DatabaseManager — schema creation plus a migrateAddCurrencyColumn() step that checks PRAGMA table_info before altering a table, so the currency column is added safely to a database that already has real data in it, without losing anything.</w:t>
      </w:r>
    </w:p>
    <w:p>
      <w:pPr>
        <w:pStyle w:val="Heading2"/>
        <w:spacing w:after="100" w:before="200"/>
      </w:pPr>
      <w:r>
        <w:t xml:space="preserve">Service Layer</w:t>
      </w:r>
    </w:p>
    <w:p>
      <w:pPr>
        <w:pStyle w:val="ListParagraph"/>
        <w:numPr>
          <w:ilvl w:val="0"/>
          <w:numId w:val="1"/>
        </w:numPr>
        <w:spacing w:after="60"/>
      </w:pPr>
      <w:r>
        <w:t xml:space="preserve">BudgetService — computes per-category budget status for a month (GHS only) and exposes validateAgainstBudget(Expense), which throws BudgetExceededException before a transaction is saved if it would push spending over the category's limit; a non-GHS expense is exempted from this check entirely.</w:t>
      </w:r>
    </w:p>
    <w:p>
      <w:pPr>
        <w:pStyle w:val="ListParagraph"/>
        <w:numPr>
          <w:ilvl w:val="0"/>
          <w:numId w:val="1"/>
        </w:numPr>
        <w:spacing w:after="60"/>
      </w:pPr>
      <w:r>
        <w:t xml:space="preserve">RecurringTransactionService — generateDueTransactions() runs on startup, converting any due (or overdue-and-catching-up) recurring rules into real, persisted transactions.</w:t>
      </w:r>
    </w:p>
    <w:p>
      <w:pPr>
        <w:pStyle w:val="ListParagraph"/>
        <w:numPr>
          <w:ilvl w:val="0"/>
          <w:numId w:val="1"/>
        </w:numPr>
        <w:spacing w:after="60"/>
      </w:pPr>
      <w:r>
        <w:t xml:space="preserve">InsightEngine — generateInsights(YearMonth) compares the current and previous month's GHS spending, computes income-vs-expense deficit, discretionary-spend ratio, and projected annual cost of frequent small purchases.</w:t>
      </w:r>
    </w:p>
    <w:p>
      <w:pPr>
        <w:pStyle w:val="ListParagraph"/>
        <w:numPr>
          <w:ilvl w:val="0"/>
          <w:numId w:val="1"/>
        </w:numPr>
        <w:spacing w:after="60"/>
      </w:pPr>
      <w:r>
        <w:t xml:space="preserve">ExportService — exportTransactionsToCsv(List&lt;Transaction&gt;, Path) writes a CSV file (including a Currency column) with proper value escaping.</w:t>
      </w:r>
    </w:p>
    <w:p>
      <w:pPr>
        <w:pStyle w:val="ListParagraph"/>
        <w:numPr>
          <w:ilvl w:val="0"/>
          <w:numId w:val="1"/>
        </w:numPr>
        <w:spacing w:after="60"/>
      </w:pPr>
      <w:r>
        <w:t xml:space="preserve">ImportService — parseNote(String, List&lt;Category&gt;) turns pasted text into a list of ParsedExpense records. Handles a date appearing alone on a line or leading straight into that day's first entry, "="-separated fields with a trailing running-total ignored (and flagged, not silently used), parenthetical asides excluded from amount detection, comma-thousands amounts, and per-line currency detection (defaulting to GHS unless "$"/"USD" is present). Every line that cannot be confidently parsed is still returned with a warning rather than dropped.</w:t>
      </w:r>
    </w:p>
    <w:p>
      <w:pPr>
        <w:pStyle w:val="Heading2"/>
        <w:spacing w:after="100" w:before="200"/>
      </w:pPr>
      <w:r>
        <w:t xml:space="preserve">Controller Layer</w:t>
      </w:r>
    </w:p>
    <w:p>
      <w:pPr>
        <w:pStyle w:val="ListParagraph"/>
        <w:numPr>
          <w:ilvl w:val="0"/>
          <w:numId w:val="1"/>
        </w:numPr>
        <w:spacing w:after="60"/>
      </w:pPr>
      <w:r>
        <w:t xml:space="preserve">One controller per screen (DashboardController, TransactionsController, BudgetsController, RecurringController, AnalyticsController, plus ImportController) and form controllers for the Add/Edit dialogs (TransactionFormController, BudgetFormController, RecurringFormController, ImportRow) and a MainController that manages sidebar navigation.</w:t>
      </w:r>
    </w:p>
    <w:p>
      <w:pPr>
        <w:pStyle w:val="ListParagraph"/>
        <w:numPr>
          <w:ilvl w:val="0"/>
          <w:numId w:val="1"/>
        </w:numPr>
        <w:spacing w:after="60"/>
      </w:pPr>
      <w:r>
        <w:t xml:space="preserve">ImportRow — a small, JavaFX-property-backed class (distinct from the plain ParsedExpense record) used only by the review TableView, so every field the user sees can be edited inline before the import is committed.</w:t>
      </w:r>
    </w:p>
    <w:p>
      <w:pPr>
        <w:pStyle w:val="Heading1"/>
        <w:spacing w:after="150" w:before="300"/>
      </w:pPr>
      <w:r>
        <w:t xml:space="preserve">8. GUI Design Explanation</w:t>
      </w:r>
    </w:p>
    <w:p>
      <w:pPr>
        <w:spacing w:after="120"/>
      </w:pPr>
      <w:r>
        <w:t xml:space="preserve">The application uses a persistent sidebar (Dashboard, Transactions, Budgets, Recurring, Analytics) beside a swappable content area, so navigation state and layout stay consistent while the active screen changes. All screens share a common card-based visual language defined in a single stylesheet — including a deliberate color palette (rather than JavaFX's default chart colors) for charts, budget-health indicators, and insight severity — so new screens automatically look consistent with existing ones.</w:t>
      </w:r>
    </w:p>
    <w:p>
      <w:pPr>
        <w:pStyle w:val="ListParagraph"/>
        <w:numPr>
          <w:ilvl w:val="0"/>
          <w:numId w:val="1"/>
        </w:numPr>
        <w:spacing w:after="60"/>
      </w:pPr>
      <w:r>
        <w:t xml:space="preserve">Dashboard — balance and this-month income/expense, shown per currency; whichever currency has more transaction activity is displayed as the primary figure, with the other only shown at all if it has ever been used, plus a recent-activity list.</w:t>
      </w:r>
    </w:p>
    <w:p>
      <w:pPr>
        <w:pStyle w:val="ListParagraph"/>
        <w:numPr>
          <w:ilvl w:val="0"/>
          <w:numId w:val="1"/>
        </w:numPr>
        <w:spacing w:after="60"/>
      </w:pPr>
      <w:r>
        <w:t xml:space="preserve">Transactions — a filterable, sortable table with inline Edit/Delete actions, a currency-aware amount column, an Add Transaction dialog with live category filtering by type, and an "Import from Notes" entry point.</w:t>
      </w:r>
    </w:p>
    <w:p>
      <w:pPr>
        <w:pStyle w:val="ListParagraph"/>
        <w:numPr>
          <w:ilvl w:val="0"/>
          <w:numId w:val="1"/>
        </w:numPr>
        <w:spacing w:after="60"/>
      </w:pPr>
      <w:r>
        <w:t xml:space="preserve">Import from Notes — a paste area for free-form text, a Parse step, and an editable review table (checkbox to include/exclude, an inline date picker, editable category/description/amount/currency, and a warning column) before anything is written to the database.</w:t>
      </w:r>
    </w:p>
    <w:p>
      <w:pPr>
        <w:pStyle w:val="ListParagraph"/>
        <w:numPr>
          <w:ilvl w:val="0"/>
          <w:numId w:val="1"/>
        </w:numPr>
        <w:spacing w:after="60"/>
      </w:pPr>
      <w:r>
        <w:t xml:space="preserve">Budgets — one progress-bar card per budgeted category, colored green/orange/red based on usage against the alert threshold and the limit itself.</w:t>
      </w:r>
    </w:p>
    <w:p>
      <w:pPr>
        <w:pStyle w:val="ListParagraph"/>
        <w:numPr>
          <w:ilvl w:val="0"/>
          <w:numId w:val="1"/>
        </w:numPr>
        <w:spacing w:after="60"/>
      </w:pPr>
      <w:r>
        <w:t xml:space="preserve">Recurring — a table of recurring rules with an inline active/inactive toggle and Edit/Delete actions.</w:t>
      </w:r>
    </w:p>
    <w:p>
      <w:pPr>
        <w:pStyle w:val="ListParagraph"/>
        <w:numPr>
          <w:ilvl w:val="0"/>
          <w:numId w:val="1"/>
        </w:numPr>
        <w:spacing w:after="60"/>
      </w:pPr>
      <w:r>
        <w:t xml:space="preserve">Analytics — a category-spending pie chart, a six-month income-vs-expense bar chart, a note when GHS-only charts are excluding USD activity that exists, and a stack of color-coded insight cards (informational, warning, critical).</w:t>
      </w:r>
    </w:p>
    <w:p>
      <w:pPr>
        <w:spacing w:after="120"/>
      </w:pPr>
      <w:r>
        <w:t xml:space="preserve">Color is used consistently as a signal, not decoration: green/orange/red for budget health, and the same warning/critical palette for insight severity, so the user learns the color language once and it applies everywhere.</w:t>
      </w:r>
    </w:p>
    <w:p>
      <w:pPr>
        <w:pStyle w:val="Heading1"/>
        <w:spacing w:after="150" w:before="300"/>
      </w:pPr>
      <w:r>
        <w:t xml:space="preserve">9. OOP Concepts Implemented</w:t>
      </w:r>
    </w:p>
    <w:p>
      <w:pPr>
        <w:pStyle w:val="Heading2"/>
        <w:spacing w:after="100" w:before="200"/>
      </w:pPr>
      <w:r>
        <w:t xml:space="preserve">Encapsulation</w:t>
      </w:r>
    </w:p>
    <w:p>
      <w:pPr>
        <w:spacing w:after="120"/>
      </w:pPr>
      <w:r>
        <w:t xml:space="preserve">Domain classes (Transaction, Category, Budget, RecurringRule) keep all fields private and expose only validated getters/setters. For example, Transaction.setAmount() re-validates that the new amount is positive before accepting it, so an object can never be left in an invalid state through its public interface.</w:t>
      </w:r>
    </w:p>
    <w:p>
      <w:pPr>
        <w:pStyle w:val="Heading2"/>
        <w:spacing w:after="100" w:before="200"/>
      </w:pPr>
      <w:r>
        <w:t xml:space="preserve">Inheritance</w:t>
      </w:r>
    </w:p>
    <w:p>
      <w:pPr>
        <w:spacing w:after="120"/>
      </w:pPr>
      <w:r>
        <w:t xml:space="preserve">Transaction is an abstract base class extended by Income and Expense, which share all common fields and validation logic but differ in how they affect a running balance.</w:t>
      </w:r>
    </w:p>
    <w:p>
      <w:pPr>
        <w:pStyle w:val="Heading2"/>
        <w:spacing w:after="100" w:before="200"/>
      </w:pPr>
      <w:r>
        <w:t xml:space="preserve">Polymorphism</w:t>
      </w:r>
    </w:p>
    <w:p>
      <w:pPr>
        <w:spacing w:after="120"/>
      </w:pPr>
      <w:r>
        <w:t xml:space="preserve">Transaction.signedAmount() is overridden by Income (returns +amount) and Expense (returns −amount), letting all balance and chart calculations sum a mixed list of transactions without type-checking each one. Similarly, the TransactionRepository interface is implemented by SqliteTransactionRepository, and callers throughout the service and controller layers depend only on the interface.</w:t>
      </w:r>
    </w:p>
    <w:p>
      <w:pPr>
        <w:pStyle w:val="Heading2"/>
        <w:spacing w:after="100" w:before="200"/>
      </w:pPr>
      <w:r>
        <w:t xml:space="preserve">Abstraction</w:t>
      </w:r>
    </w:p>
    <w:p>
      <w:pPr>
        <w:spacing w:after="120"/>
      </w:pPr>
      <w:r>
        <w:t xml:space="preserve">The abstract Transaction class hides shared validation and state behind a simple contract (getType(), signedAmount()). The repository interfaces in the dao package hide all JDBC/SQL detail from the service and controller layers entirely — a controller calls transactionRepository.findAll() and never sees a Connection or a SQL string. The Currency enum similarly hides each currency's display symbol behind a single format(double) method, so no screen needs its own if/else to decide how to print an amount.</w:t>
      </w:r>
    </w:p>
    <w:p>
      <w:pPr>
        <w:pStyle w:val="Heading2"/>
        <w:spacing w:after="100" w:before="200"/>
      </w:pPr>
      <w:r>
        <w:t xml:space="preserve">Exception Handling</w:t>
      </w:r>
    </w:p>
    <w:p>
      <w:pPr>
        <w:spacing w:after="120"/>
      </w:pPr>
      <w:r>
        <w:t xml:space="preserve">Two custom checked exceptions — ValidationException and BudgetExceededException — model business-rule violations distinctly from unexpected system failures, which are represented by the unchecked DataAccessException. Controllers catch these and present them as JavaFX Alert dialogs rather than raw stack traces; a global uncaught-exception handler on the JavaFX Application Thread catches anything unanticipated so the application degrades gracefully instead of silently crashing. The importer applies the same ValidationException per row rather than aborting an entire batch, so one bad row does not block the rows around it.</w:t>
      </w:r>
    </w:p>
    <w:p>
      <w:pPr>
        <w:pStyle w:val="Heading2"/>
        <w:spacing w:after="100" w:before="200"/>
      </w:pPr>
      <w:r>
        <w:t xml:space="preserve">Collections</w:t>
      </w:r>
    </w:p>
    <w:p>
      <w:pPr>
        <w:spacing w:after="120"/>
      </w:pPr>
      <w:r>
        <w:t xml:space="preserve">ObservableList&lt;Transaction&gt; backs the Transactions TableView so the UI updates automatically as data changes; the InsightEngine aggregates monthly totals per category using a Map&lt;String, Double&gt;; the importer's category-keyword lookup is a Map&lt;String, List&lt;String&gt;&gt;.</w:t>
      </w:r>
    </w:p>
    <w:p>
      <w:pPr>
        <w:pStyle w:val="Heading2"/>
        <w:spacing w:after="100" w:before="200"/>
      </w:pPr>
      <w:r>
        <w:t xml:space="preserve">Event-Driven Programming and GUI Handling</w:t>
      </w:r>
    </w:p>
    <w:p>
      <w:pPr>
        <w:spacing w:after="120"/>
      </w:pPr>
      <w:r>
        <w:t xml:space="preserve">Button actions, table-selection listeners, and ComboBox value-change listeners (for example, re-filtering the category dropdown when the transaction type changes) drive all interactivity. Dialog OK buttons use an event filter to run validation and budget checks before allowing the dialog to close, consuming the event to keep it open on failure. The import review table goes further, using JavaFX's editable-cell machinery (TextFieldTableCell, ComboBoxTableCell, and a custom DatePicker-backed cell) so every parsed value can be corrected in place.</w:t>
      </w:r>
    </w:p>
    <w:p>
      <w:pPr>
        <w:pStyle w:val="Heading1"/>
        <w:spacing w:after="150" w:before="300"/>
      </w:pPr>
      <w:r>
        <w:t xml:space="preserve">10. Screenshots and Outputs</w:t>
      </w:r>
    </w:p>
    <w:p>
      <w:pPr>
        <w:spacing w:after="120"/>
      </w:pPr>
      <w:r>
        <w:t xml:space="preserve">The following screenshots were taken from a running instance of the application with real transaction data entered through the Import from Notes feature.</w:t>
      </w:r>
    </w:p>
    <w:p>
      <w:pPr>
        <w:spacing w:after="60" w:before="10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552825"/>
                    </a:xfrm>
                    <a:prstGeom prst="rect">
                      <a:avLst/>
                    </a:prstGeom>
                  </pic:spPr>
                </pic:pic>
              </a:graphicData>
            </a:graphic>
          </wp:inline>
        </w:drawing>
      </w:r>
    </w:p>
    <w:p>
      <w:pPr>
        <w:spacing w:after="200"/>
        <w:jc w:val="center"/>
      </w:pPr>
      <w:r>
        <w:rPr>
          <w:i/>
          <w:iCs/>
          <w:sz w:val="20"/>
          <w:szCs w:val="20"/>
        </w:rPr>
        <w:t xml:space="preserve">Figure 1 — Dashboard, showing the GHS balance card, this month's income/expense, and recent activity.</w:t>
      </w:r>
    </w:p>
    <w:p>
      <w:pPr>
        <w:spacing w:after="60" w:before="100"/>
        <w:jc w:val="center"/>
      </w:pPr>
      <w:r>
        <w:drawing>
          <wp:inline distT="0" distB="0" distL="0" distR="0">
            <wp:extent cx="5334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524250"/>
                    </a:xfrm>
                    <a:prstGeom prst="rect">
                      <a:avLst/>
                    </a:prstGeom>
                  </pic:spPr>
                </pic:pic>
              </a:graphicData>
            </a:graphic>
          </wp:inline>
        </w:drawing>
      </w:r>
    </w:p>
    <w:p>
      <w:pPr>
        <w:spacing w:after="200"/>
        <w:jc w:val="center"/>
      </w:pPr>
      <w:r>
        <w:rPr>
          <w:i/>
          <w:iCs/>
          <w:sz w:val="20"/>
          <w:szCs w:val="20"/>
        </w:rPr>
        <w:t xml:space="preserve">Figure 2 — Transactions screen, with the filterable table, currency-aware amount column, and the Import from Notes entry point.</w:t>
      </w:r>
    </w:p>
    <w:p>
      <w:pPr>
        <w:spacing w:after="60" w:before="100"/>
        <w:jc w:val="center"/>
      </w:pPr>
      <w:r>
        <w:drawing>
          <wp:inline distT="0" distB="0" distL="0" distR="0">
            <wp:extent cx="5334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43300"/>
                    </a:xfrm>
                    <a:prstGeom prst="rect">
                      <a:avLst/>
                    </a:prstGeom>
                  </pic:spPr>
                </pic:pic>
              </a:graphicData>
            </a:graphic>
          </wp:inline>
        </w:drawing>
      </w:r>
    </w:p>
    <w:p>
      <w:pPr>
        <w:spacing w:after="200"/>
        <w:jc w:val="center"/>
      </w:pPr>
      <w:r>
        <w:rPr>
          <w:i/>
          <w:iCs/>
          <w:sz w:val="20"/>
          <w:szCs w:val="20"/>
        </w:rPr>
        <w:t xml:space="preserve">Figure 3 — Budgets screen in its empty state, prompting the user to set a first budget.</w:t>
      </w:r>
    </w:p>
    <w:p>
      <w:pPr>
        <w:spacing w:after="60" w:before="100"/>
        <w:jc w:val="center"/>
      </w:pPr>
      <w:r>
        <w:drawing>
          <wp:inline distT="0" distB="0" distL="0" distR="0">
            <wp:extent cx="5334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200"/>
        <w:jc w:val="center"/>
      </w:pPr>
      <w:r>
        <w:rPr>
          <w:i/>
          <w:iCs/>
          <w:sz w:val="20"/>
          <w:szCs w:val="20"/>
        </w:rPr>
        <w:t xml:space="preserve">Figure 4 — Recurring Transactions screen in its empty state.</w:t>
      </w:r>
    </w:p>
    <w:p>
      <w:pPr>
        <w:spacing w:after="60" w:before="100"/>
        <w:jc w:val="center"/>
      </w:pPr>
      <w:r>
        <w:drawing>
          <wp:inline distT="0" distB="0" distL="0" distR="0">
            <wp:extent cx="533400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62350"/>
                    </a:xfrm>
                    <a:prstGeom prst="rect">
                      <a:avLst/>
                    </a:prstGeom>
                  </pic:spPr>
                </pic:pic>
              </a:graphicData>
            </a:graphic>
          </wp:inline>
        </w:drawing>
      </w:r>
    </w:p>
    <w:p>
      <w:pPr>
        <w:spacing w:after="200"/>
        <w:jc w:val="center"/>
      </w:pPr>
      <w:r>
        <w:rPr>
          <w:i/>
          <w:iCs/>
          <w:sz w:val="20"/>
          <w:szCs w:val="20"/>
        </w:rPr>
        <w:t xml:space="preserve">Figure 5 — Analytics &amp; Insights screen: category pie chart, six-month trend chart, and generated spending-harm insights.</w:t>
      </w:r>
    </w:p>
    <w:p>
      <w:pPr>
        <w:pStyle w:val="Heading1"/>
        <w:spacing w:after="150" w:before="300"/>
      </w:pPr>
      <w:r>
        <w:t xml:space="preserve">11. GitHub Repository Link</w:t>
      </w:r>
    </w:p>
    <w:p>
      <w:hyperlink w:history="1" r:id="rIdo7ycrsgq_61i3zzihwcy_">
        <w:r>
          <w:rPr>
            <w:rStyle w:val="Hyperlink"/>
          </w:rPr>
          <w:t xml:space="preserve">https://github.com/Blackman88-Gee/spendwise</w:t>
        </w:r>
      </w:hyperlink>
    </w:p>
    <w:p>
      <w:pPr>
        <w:pStyle w:val="Heading1"/>
        <w:spacing w:after="150" w:before="300"/>
      </w:pPr>
      <w:r>
        <w:t xml:space="preserve">12. Challenges Encountered</w:t>
      </w:r>
    </w:p>
    <w:p>
      <w:pPr>
        <w:spacing w:after="120"/>
      </w:pPr>
      <w:r>
        <w:t xml:space="preserve">Several non-trivial technical challenges came up during development, most of them surfaced not by writing code in isolation but by testing the system against real usage as soon as each feature existed.</w:t>
      </w:r>
    </w:p>
    <w:p>
      <w:pPr>
        <w:pStyle w:val="Heading2"/>
        <w:spacing w:after="100" w:before="200"/>
      </w:pPr>
      <w:r>
        <w:t xml:space="preserve">Layering validation without one check blocking another</w:t>
      </w:r>
    </w:p>
    <w:p>
      <w:pPr>
        <w:spacing w:after="120"/>
      </w:pPr>
      <w:r>
        <w:t xml:space="preserve">Adding a new expense needs two different kinds of check: a hard validation rule (is the amount a real positive number, is a category selected) and a soft warning (this would put a budget over its limit, but the user may still want to proceed). Running both through the same error path would either let invalid data through or block a perfectly legitimate overspend the user wants to record anyway. The two were separated into distinct layers: the model layer raises a checked ValidationException that always blocks saving, while BudgetService raises a separate BudgetExceededException that the UI turns into a confirmation dialog the user can accept or cancel. Only the first kind of error is ever non-negotiable.</w:t>
      </w:r>
    </w:p>
    <w:p>
      <w:pPr>
        <w:pStyle w:val="Heading2"/>
        <w:spacing w:after="100" w:before="200"/>
      </w:pPr>
      <w:r>
        <w:t xml:space="preserve">Keeping recurring-transaction generation safe to re-run</w:t>
      </w:r>
    </w:p>
    <w:p>
      <w:pPr>
        <w:spacing w:after="120"/>
      </w:pPr>
      <w:r>
        <w:t xml:space="preserve">Recurring rules must turn into real transactions every time the application starts, including "catching up" if the app was not opened for several days and a rule has multiple occurrences due. This introduced a risk of an infinite loop if a rule's data were ever malformed in a way that stopped its due date from advancing. A hard cap on the number of catch-up occurrences generated per rule per run was added specifically to guard against that failure mode, even though it should not be reachable under normal use.</w:t>
      </w:r>
    </w:p>
    <w:p>
      <w:pPr>
        <w:pStyle w:val="Heading2"/>
        <w:spacing w:after="100" w:before="200"/>
      </w:pPr>
      <w:r>
        <w:t xml:space="preserve">Rewriting the note importer against real data instead of an idealized format</w:t>
      </w:r>
    </w:p>
    <w:p>
      <w:pPr>
        <w:spacing w:after="120"/>
      </w:pPr>
      <w:r>
        <w:t xml:space="preserve">The first version of the note-paste importer was written against a clean, idealized shape: a date alone on its own line, followed by "Description - Amount" lines. Testing it against an actual, informally-written expense note (rather than a constructed example) showed several assumptions did not hold: a date often shares a line with that day's first transaction rather than sitting on its own line; entries are separated with "=" rather than "-"; some lines record a running balance after the transaction amount, which a naive "take the last number on the line" rule would misread as the amount itself; and parenthetical asides such as a note about a separate cash withdrawal contained numbers of their own that were being picked up by mistake instead of the actual transaction amount. The parser was rewritten to extract a leading date from the start of a line rather than requiring it to be the whole line, to split each entry on its first "=" sign and treat anything after a second "=" as a note rather than a value, and to strip parenthetical text out of the line before searching it for numbers. Each of these fixes was locked in with a dedicated unit test built directly from the real note that exposed the problem.</w:t>
      </w:r>
    </w:p>
    <w:p>
      <w:pPr>
        <w:pStyle w:val="Heading2"/>
        <w:spacing w:after="100" w:before="200"/>
      </w:pPr>
      <w:r>
        <w:t xml:space="preserve">Adding a second currency onto a database that already held real data</w:t>
      </w:r>
    </w:p>
    <w:p>
      <w:pPr>
        <w:spacing w:after="120"/>
      </w:pPr>
      <w:r>
        <w:t xml:space="preserve">Multi-currency support was added after the application already had real transactions stored locally. This ruled out simply changing the CREATE TABLE statement, since that only affects a brand-new database file. The schema migration had to check PRAGMA table_info at startup and only run an ALTER TABLE ADD COLUMN when the currency column was not already present, defaulting existing rows to GHS, so that upgrading the application never required deleting or re-entering existing data.</w:t>
      </w:r>
    </w:p>
    <w:p>
      <w:pPr>
        <w:pStyle w:val="Heading2"/>
        <w:spacing w:after="100" w:before="200"/>
      </w:pPr>
      <w:r>
        <w:t xml:space="preserve">Deciding what "multi-currency" should actually mean</w:t>
      </w:r>
    </w:p>
    <w:p>
      <w:pPr>
        <w:spacing w:after="120"/>
      </w:pPr>
      <w:r>
        <w:t xml:space="preserve">Supporting two currencies raised a design question with no single correct answer: should a Dashboard balance that mixes GHS and USD transactions convert one into the other, or keep them separate? Converting would require an exchange rate that is not always current and would silently misrepresent the numbers; keeping them separate is more honest but means the "balance" is really two numbers, not one. The system settled on keeping the two currencies independent everywhere, with the Dashboard giving visual priority to whichever currency has more transaction activity so the figure that matters most is the one shown largest, and with Budgets, the Insight Engine, and the Analytics charts scoped to GHS only, since that is the currency budgeting decisions are actually made in.</w:t>
      </w:r>
    </w:p>
    <w:p>
      <w:pPr>
        <w:pStyle w:val="Heading1"/>
        <w:spacing w:after="150" w:before="300"/>
      </w:pPr>
      <w:r>
        <w:t xml:space="preserve">13. Conclusion</w:t>
      </w:r>
    </w:p>
    <w:p>
      <w:pPr>
        <w:spacing w:after="120"/>
      </w:pPr>
      <w:r>
        <w:t xml:space="preserve">SpendWise meets the objectives set out for this project: it is a functional, GUI-based Java application that records and manages personal finances, enforces budget discipline through real-time alerts, removes the manual burden of recurring transactions, and — through its Insight Engine — goes beyond simple bookkeeping to give the user meaningful, actionable feedback about their spending habits. Beyond the original brief, the system also absorbs an existing, informally-written expense record through its note importer and tracks spending across two currencies without forcing an inaccurate conversion between them. The system was built on a clean object-oriented foundation, with encapsulation, inheritance, polymorphism, and abstraction all applied deliberately rather than superficially, and is backed by an automated test suite covering the domain, service, and import-parsing layers.</w:t>
      </w:r>
    </w:p>
    <w:p>
      <w:pPr>
        <w:pStyle w:val="Heading1"/>
        <w:spacing w:after="150" w:before="300"/>
      </w:pPr>
      <w:r>
        <w:t xml:space="preserve">14. Recommendations</w:t>
      </w:r>
    </w:p>
    <w:p>
      <w:pPr>
        <w:pStyle w:val="ListParagraph"/>
        <w:numPr>
          <w:ilvl w:val="0"/>
          <w:numId w:val="1"/>
        </w:numPr>
        <w:spacing w:after="60"/>
      </w:pPr>
      <w:r>
        <w:t xml:space="preserve">Add a category-management screen so users can create custom categories instead of relying on the seeded defaults.</w:t>
      </w:r>
    </w:p>
    <w:p>
      <w:pPr>
        <w:pStyle w:val="ListParagraph"/>
        <w:numPr>
          <w:ilvl w:val="0"/>
          <w:numId w:val="1"/>
        </w:numPr>
        <w:spacing w:after="60"/>
      </w:pPr>
      <w:r>
        <w:t xml:space="preserve">Let the importer learn from category corrections the user makes in the review table, so repeated personal shorthand (e.g. a habitual abbreviation) is recognized automatically next time.</w:t>
      </w:r>
    </w:p>
    <w:p>
      <w:pPr>
        <w:pStyle w:val="ListParagraph"/>
        <w:numPr>
          <w:ilvl w:val="0"/>
          <w:numId w:val="1"/>
        </w:numPr>
        <w:spacing w:after="60"/>
      </w:pPr>
      <w:r>
        <w:t xml:space="preserve">Support a user-editable exchange rate for an optional combined-total view, while keeping the current per-currency figures as the default.</w:t>
      </w:r>
    </w:p>
    <w:p>
      <w:pPr>
        <w:pStyle w:val="ListParagraph"/>
        <w:numPr>
          <w:ilvl w:val="0"/>
          <w:numId w:val="1"/>
        </w:numPr>
        <w:spacing w:after="60"/>
      </w:pPr>
      <w:r>
        <w:t xml:space="preserve">Add bank statement import (CSV/OFX) alongside the existing note importer, to reduce manual transaction entry further.</w:t>
      </w:r>
    </w:p>
    <w:p>
      <w:pPr>
        <w:pStyle w:val="ListParagraph"/>
        <w:numPr>
          <w:ilvl w:val="0"/>
          <w:numId w:val="1"/>
        </w:numPr>
        <w:spacing w:after="60"/>
      </w:pPr>
      <w:r>
        <w:t xml:space="preserve">Introduce savings-goal tracking alongside budgets, so the Insight Engine can report progress toward a specific target, not just overspending.</w:t>
      </w:r>
    </w:p>
    <w:p>
      <w:pPr>
        <w:pStyle w:val="ListParagraph"/>
        <w:numPr>
          <w:ilvl w:val="0"/>
          <w:numId w:val="1"/>
        </w:numPr>
        <w:spacing w:after="60"/>
      </w:pPr>
      <w:r>
        <w:t xml:space="preserve">Package the application as a native installer (via jpackage) for easier distribution outside a development environment.</w:t>
      </w:r>
    </w:p>
    <w:p>
      <w:pPr>
        <w:pStyle w:val="Heading1"/>
        <w:spacing w:after="150" w:before="300"/>
      </w:pPr>
      <w:r>
        <w:t xml:space="preserve">15. References</w:t>
      </w:r>
    </w:p>
    <w:p>
      <w:pPr>
        <w:pStyle w:val="ListParagraph"/>
        <w:numPr>
          <w:ilvl w:val="0"/>
          <w:numId w:val="1"/>
        </w:numPr>
        <w:spacing w:after="60"/>
      </w:pPr>
      <w:r>
        <w:t xml:space="preserve">Oracle. (2024). JavaFX Documentation. https://openjfx.io/</w:t>
      </w:r>
    </w:p>
    <w:p>
      <w:pPr>
        <w:pStyle w:val="ListParagraph"/>
        <w:numPr>
          <w:ilvl w:val="0"/>
          <w:numId w:val="1"/>
        </w:numPr>
        <w:spacing w:after="60"/>
      </w:pPr>
      <w:r>
        <w:t xml:space="preserve">Oracle. (2024). Java SE 21 API Documentation. https://docs.oracle.com/en/java/javase/21/</w:t>
      </w:r>
    </w:p>
    <w:p>
      <w:pPr>
        <w:pStyle w:val="ListParagraph"/>
        <w:numPr>
          <w:ilvl w:val="0"/>
          <w:numId w:val="1"/>
        </w:numPr>
        <w:spacing w:after="60"/>
      </w:pPr>
      <w:r>
        <w:t xml:space="preserve">SQLite JDBC Driver (xerial/sqlite-jdbc). https://github.com/xerial/sqlite-jdbc</w:t>
      </w:r>
    </w:p>
    <w:p>
      <w:pPr>
        <w:pStyle w:val="ListParagraph"/>
        <w:numPr>
          <w:ilvl w:val="0"/>
          <w:numId w:val="1"/>
        </w:numPr>
        <w:spacing w:after="60"/>
      </w:pPr>
      <w:r>
        <w:t xml:space="preserve">JUnit 5 User Guide. https://junit.org/junit5/docs/current/user-guide/</w:t>
      </w:r>
    </w:p>
    <w:p>
      <w:pPr>
        <w:pStyle w:val="ListParagraph"/>
        <w:numPr>
          <w:ilvl w:val="0"/>
          <w:numId w:val="1"/>
        </w:numPr>
        <w:spacing w:after="60"/>
      </w:pPr>
      <w:r>
        <w:t xml:space="preserve">University of Cape Coast, College of Distance Education. INF811D: Object Oriented Programming — Semester 1 Paper/Practical Project Brief, 2025/2026 Academic Year.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f93e-n3dvckd2vm_b8li" Type="http://schemas.openxmlformats.org/officeDocument/2006/relationships/hyperlink" Target="https://github.com/Blackman88-Gee/spendwise" TargetMode="External"/><Relationship Id="rIdo7ycrsgq_61i3zzihwcy_" Type="http://schemas.openxmlformats.org/officeDocument/2006/relationships/hyperlink" Target="https://github.com/Blackman88-Gee/spendwise" TargetMode="External"/><Relationship Id="rId7" Type="http://schemas.openxmlformats.org/officeDocument/2006/relationships/image" Target="media/01a57d90bf495fa40e10ec3046eea9d95a188156.png"/><Relationship Id="rId8" Type="http://schemas.openxmlformats.org/officeDocument/2006/relationships/image" Target="media/b4df834a04d5d5280d662c29b1948d80b574bdb3.png"/><Relationship Id="rId9" Type="http://schemas.openxmlformats.org/officeDocument/2006/relationships/image" Target="media/30b393a0e5617e267a7e71df0abd3ccbee92a1eb.png"/><Relationship Id="rId10" Type="http://schemas.openxmlformats.org/officeDocument/2006/relationships/image" Target="media/687880fa2f28cd15b4b96ae15906d1c566b54f96.png"/><Relationship Id="rId11" Type="http://schemas.openxmlformats.org/officeDocument/2006/relationships/image" Target="media/f9394082f933d7b9fa53bdc446bd90de07de1fe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2026-07-11T09:57:46.170Z</dcterms:created>
  <dcterms:modified xsi:type="dcterms:W3CDTF">2026-07-11T09:57:46.172Z</dcterms:modified>
</cp:coreProperties>
</file>

<file path=docProps/custom.xml><?xml version="1.0" encoding="utf-8"?>
<Properties xmlns="http://schemas.openxmlformats.org/officeDocument/2006/custom-properties" xmlns:vt="http://schemas.openxmlformats.org/officeDocument/2006/docPropsVTypes"/>
</file>