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F766E"/>
          <w:sz w:val="36"/>
          <w:szCs w:val="36"/>
        </w:rPr>
        <w:t xml:space="preserve">SecureGate: Secure Login System</w:t>
      </w:r>
    </w:p>
    <w:p>
      <w:pPr>
        <w:pBdr>
          <w:bottom w:val="single" w:color="0F766E" w:sz="8" w:space="4"/>
        </w:pBdr>
        <w:spacing w:after="100"/>
      </w:pPr>
      <w:r>
        <w:rPr>
          <w:color w:val="526079"/>
          <w:sz w:val="20"/>
          <w:szCs w:val="20"/>
        </w:rPr>
        <w:t xml:space="preserve">Implementation report  |  HTML, CSS and JavaScript  |  Deployed with GitHub and Vercel</w:t>
      </w:r>
    </w:p>
    <w:p>
      <w:pPr>
        <w:pStyle w:val="Heading1"/>
      </w:pPr>
      <w:r>
        <w:t xml:space="preserve">1. Overview</w:t>
      </w:r>
    </w:p>
    <w:p>
      <w:pPr>
        <w:spacing w:after="70" w:line="252"/>
        <w:jc w:val="both"/>
      </w:pPr>
      <w:r>
        <w:t xml:space="preserve">SecureGate is a static web application made of four files: index.html (screens), style.css (design), crypto.js (security functions) and app.js (application logic). It places a dashboard behind a chain of controls: user identification, two-factor authentication, rule-based authorization and protected password storage. All cryptography uses the browser’s built-in Web Crypto API, so there are no external libraries and the project deploys unchanged to GitHub and Vercel. Accounts are kept in the browser’s localStorage, which makes this an educational demonstration (see section 8).</w:t>
      </w:r>
    </w:p>
    <w:p>
      <w:pPr>
        <w:pStyle w:val="Heading1"/>
      </w:pPr>
      <w:r>
        <w:t xml:space="preserve">2. User identification</w:t>
      </w:r>
    </w:p>
    <w:p>
      <w:pPr>
        <w:spacing w:after="70" w:line="252"/>
        <w:jc w:val="both"/>
      </w:pPr>
      <w:r>
        <w:t xml:space="preserve">Every user registers a unique username (3–20 letters, numbers or underscore, stored in lowercase). Duplicate names are refused. At sign-in the username states who the person claims to be; the next steps prove it. Unknown and known usernames receive the same message (“Invalid username or password”) and cost the same hashing time, which prevents attackers from discovering which accounts exist.</w:t>
      </w:r>
    </w:p>
    <w:p>
      <w:pPr>
        <w:pStyle w:val="Heading1"/>
      </w:pPr>
      <w:r>
        <w:t xml:space="preserve">3. User authentication with two factors</w:t>
      </w:r>
    </w:p>
    <w:p>
      <w:pPr>
        <w:spacing w:after="70" w:line="252"/>
        <w:jc w:val="both"/>
      </w:pPr>
      <w:r>
        <w:rPr>
          <w:b/>
          <w:bCs/>
        </w:rPr>
        <w:t xml:space="preserve">Factor 1, something you know: </w:t>
      </w:r>
      <w:r>
        <w:t xml:space="preserve">a password that must meet a policy (10+ characters with upper case, lower case, number and symbol, no common passwords, no username inside). A live checklist guides the user while typing.</w:t>
      </w:r>
    </w:p>
    <w:p>
      <w:pPr>
        <w:spacing w:after="70" w:line="252"/>
        <w:jc w:val="both"/>
      </w:pPr>
      <w:r>
        <w:rPr>
          <w:b/>
          <w:bCs/>
        </w:rPr>
        <w:t xml:space="preserve">Factor 2, something you have: </w:t>
      </w:r>
      <w:r>
        <w:t xml:space="preserve">a time-based one-time password (TOTP, RFC 6238), compatible with Google Authenticator, Microsoft Authenticator and Authy. At registration a random 160-bit secret is generated and shown once as a setup key; the account is created only after the user enters a valid code, proving the phone works. At sign-in the code is requested only after the password is correct. It is checked in constant time, allows one 30-second step of clock drift, and a code from a time-step already used is rejected (replay protection). The TOTP code was verified against the official RFC 4226 and RFC 6238 test vectors.</w:t>
      </w:r>
    </w:p>
    <w:p>
      <w:pPr>
        <w:pStyle w:val="Heading1"/>
      </w:pPr>
      <w:r>
        <w:t xml:space="preserve">4. Salt and pepper</w:t>
      </w:r>
    </w:p>
    <w:p>
      <w:pPr>
        <w:spacing w:after="70" w:line="252"/>
        <w:jc w:val="both"/>
      </w:pPr>
      <w:r>
        <w:t xml:space="preserve">Passwords are never stored. The stored value is produced in two stages: HMAC-SHA256(pepper, password), then PBKDF2-SHA256 using a unique salt and 210,000 iterations, giving a 256-bit hash.</w:t>
      </w:r>
    </w:p>
    <w:p>
      <w:pPr>
        <w:pStyle w:val="ListParagraph"/>
        <w:numPr>
          <w:ilvl w:val="0"/>
          <w:numId w:val="2"/>
        </w:numPr>
        <w:spacing w:after="30" w:line="252"/>
        <w:jc w:val="left"/>
      </w:pPr>
      <w:r>
        <w:rPr>
          <w:b/>
          <w:bCs/>
        </w:rPr>
        <w:t xml:space="preserve">Salt: </w:t>
      </w:r>
      <w:r>
        <w:t xml:space="preserve">16 random bytes generated for each user and saved next to the hash. Two users with the same password get different hashes, and precomputed (rainbow) tables become useless.</w:t>
      </w:r>
    </w:p>
    <w:p>
      <w:pPr>
        <w:pStyle w:val="ListParagraph"/>
        <w:numPr>
          <w:ilvl w:val="0"/>
          <w:numId w:val="2"/>
        </w:numPr>
        <w:spacing w:after="30" w:line="252"/>
        <w:jc w:val="left"/>
      </w:pPr>
      <w:r>
        <w:rPr>
          <w:b/>
          <w:bCs/>
        </w:rPr>
        <w:t xml:space="preserve">Pepper: </w:t>
      </w:r>
      <w:r>
        <w:t xml:space="preserve">one secret value shared by the whole application and kept apart from the user records. A stolen user database alone is not enough to test password guesses.</w:t>
      </w:r>
    </w:p>
    <w:p>
      <w:pPr>
        <w:pStyle w:val="ListParagraph"/>
        <w:numPr>
          <w:ilvl w:val="0"/>
          <w:numId w:val="2"/>
        </w:numPr>
        <w:spacing w:after="30" w:line="252"/>
        <w:jc w:val="left"/>
      </w:pPr>
      <w:r>
        <w:rPr>
          <w:b/>
          <w:bCs/>
        </w:rPr>
        <w:t xml:space="preserve">Slow hashing: </w:t>
      </w:r>
      <w:r>
        <w:t xml:space="preserve">the high iteration count makes each guess expensive for an attacker but costs a legitimate user only a fraction of a second.</w:t>
      </w:r>
    </w:p>
    <w:p>
      <w:pPr>
        <w:spacing w:after="40"/>
      </w:pPr>
    </w:p>
    <w:p>
      <w:pPr>
        <w:pStyle w:val="Heading1"/>
      </w:pPr>
      <w:r>
        <w:t xml:space="preserve">5. Authorization based on rules</w:t>
      </w:r>
    </w:p>
    <w:p>
      <w:pPr>
        <w:spacing w:after="70" w:line="252"/>
        <w:jc w:val="both"/>
      </w:pPr>
      <w:r>
        <w:t xml:space="preserve">Access follows role-based access control (RBAC): permissions are attached to roles, and users receive roles. The first registered account becomes Administrator; every later account starts as a Standard user (least privilege) and an administrator can promote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tblHeader/>
        </w:trPr>
        <w:tc>
          <w:tcPr>
            <w:tcW w:type="dxa" w:w="1900"/>
            <w:tcBorders>
              <w:top w:val="single" w:color="C9D3E0" w:sz="4"/>
              <w:left w:val="single" w:color="C9D3E0" w:sz="4"/>
              <w:bottom w:val="single" w:color="C9D3E0" w:sz="4"/>
              <w:right w:val="single" w:color="C9D3E0" w:sz="4"/>
            </w:tcBorders>
            <w:shd w:fill="0F766E" w:color="auto" w:val="clear"/>
            <w:tcMar>
              <w:top w:type="dxa" w:w="40"/>
              <w:left w:type="dxa" w:w="90"/>
              <w:bottom w:type="dxa" w:w="40"/>
              <w:right w:type="dxa" w:w="90"/>
            </w:tcMar>
          </w:tcPr>
          <w:p>
            <w:pPr>
              <w:spacing w:after="0" w:line="240"/>
            </w:pPr>
            <w:r>
              <w:rPr>
                <w:b/>
                <w:bCs/>
                <w:color w:val="FFFFFF"/>
                <w:sz w:val="19"/>
                <w:szCs w:val="19"/>
              </w:rPr>
              <w:t xml:space="preserve">Role</w:t>
            </w:r>
          </w:p>
        </w:tc>
        <w:tc>
          <w:tcPr>
            <w:tcW w:type="dxa" w:w="4000"/>
            <w:tcBorders>
              <w:top w:val="single" w:color="C9D3E0" w:sz="4"/>
              <w:left w:val="single" w:color="C9D3E0" w:sz="4"/>
              <w:bottom w:val="single" w:color="C9D3E0" w:sz="4"/>
              <w:right w:val="single" w:color="C9D3E0" w:sz="4"/>
            </w:tcBorders>
            <w:shd w:fill="0F766E" w:color="auto" w:val="clear"/>
            <w:tcMar>
              <w:top w:type="dxa" w:w="40"/>
              <w:left w:type="dxa" w:w="90"/>
              <w:bottom w:type="dxa" w:w="40"/>
              <w:right w:type="dxa" w:w="90"/>
            </w:tcMar>
          </w:tcPr>
          <w:p>
            <w:pPr>
              <w:spacing w:after="0" w:line="240"/>
            </w:pPr>
            <w:r>
              <w:rPr>
                <w:b/>
                <w:bCs/>
                <w:color w:val="FFFFFF"/>
                <w:sz w:val="19"/>
                <w:szCs w:val="19"/>
              </w:rPr>
              <w:t xml:space="preserve">Permissions</w:t>
            </w:r>
          </w:p>
        </w:tc>
        <w:tc>
          <w:tcPr>
            <w:tcW w:type="dxa" w:w="3846"/>
            <w:tcBorders>
              <w:top w:val="single" w:color="C9D3E0" w:sz="4"/>
              <w:left w:val="single" w:color="C9D3E0" w:sz="4"/>
              <w:bottom w:val="single" w:color="C9D3E0" w:sz="4"/>
              <w:right w:val="single" w:color="C9D3E0" w:sz="4"/>
            </w:tcBorders>
            <w:shd w:fill="0F766E" w:color="auto" w:val="clear"/>
            <w:tcMar>
              <w:top w:type="dxa" w:w="40"/>
              <w:left w:type="dxa" w:w="90"/>
              <w:bottom w:type="dxa" w:w="40"/>
              <w:right w:type="dxa" w:w="90"/>
            </w:tcMar>
          </w:tcPr>
          <w:p>
            <w:pPr>
              <w:spacing w:after="0" w:line="240"/>
            </w:pPr>
            <w:r>
              <w:rPr>
                <w:b/>
                <w:bCs/>
                <w:color w:val="FFFFFF"/>
                <w:sz w:val="19"/>
                <w:szCs w:val="19"/>
              </w:rPr>
              <w:t xml:space="preserve">What the user can do</w:t>
            </w:r>
          </w:p>
        </w:tc>
      </w:tr>
      <w:tr>
        <w:tc>
          <w:tcPr>
            <w:tcW w:type="dxa" w:w="19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Administrator</w:t>
            </w:r>
          </w:p>
        </w:tc>
        <w:tc>
          <w:tcPr>
            <w:tcW w:type="dxa" w:w="40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content:read, content:write, users:manage, audit:view</w:t>
            </w:r>
          </w:p>
        </w:tc>
        <w:tc>
          <w:tcPr>
            <w:tcW w:type="dxa" w:w="38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Everything, including changing roles, unlocking or deleting users and reading the audit log</w:t>
            </w:r>
          </w:p>
        </w:tc>
      </w:tr>
      <w:tr>
        <w:tc>
          <w:tcPr>
            <w:tcW w:type="dxa" w:w="19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Editor</w:t>
            </w:r>
          </w:p>
        </w:tc>
        <w:tc>
          <w:tcPr>
            <w:tcW w:type="dxa" w:w="40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content:read, content:write</w:t>
            </w:r>
          </w:p>
        </w:tc>
        <w:tc>
          <w:tcPr>
            <w:tcW w:type="dxa" w:w="38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Read and publish announcements</w:t>
            </w:r>
          </w:p>
        </w:tc>
      </w:tr>
      <w:tr>
        <w:tc>
          <w:tcPr>
            <w:tcW w:type="dxa" w:w="19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Standard user</w:t>
            </w:r>
          </w:p>
        </w:tc>
        <w:tc>
          <w:tcPr>
            <w:tcW w:type="dxa" w:w="40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content:read</w:t>
            </w:r>
          </w:p>
        </w:tc>
        <w:tc>
          <w:tcPr>
            <w:tcW w:type="dxa" w:w="38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Read announcements only</w:t>
            </w:r>
          </w:p>
        </w:tc>
      </w:tr>
    </w:tbl>
    <w:p>
      <w:pPr>
        <w:spacing w:after="40"/>
      </w:pPr>
    </w:p>
    <w:p>
      <w:pPr>
        <w:spacing w:after="70" w:line="252"/>
        <w:jc w:val="both"/>
      </w:pPr>
      <w:r>
        <w:t xml:space="preserve">The interface hides what a role cannot use, but hiding is not the real control. Every protected action calls requirePerm(), which re-reads the user’s current role, refuses the request with a “403 Access denied” message and writes the attempt to the audit log. An administrator cannot change or delete their own account, so the system cannot be left without an administrator.</w:t>
      </w:r>
    </w:p>
    <w:p>
      <w:pPr>
        <w:pStyle w:val="Heading1"/>
      </w:pPr>
      <w:r>
        <w:t xml:space="preserve">6. Balancing information security and access</w:t>
      </w:r>
    </w:p>
    <w:p>
      <w:pPr>
        <w:keepNext/>
        <w:spacing w:after="70" w:line="252"/>
        <w:jc w:val="both"/>
      </w:pPr>
      <w:r>
        <w:t xml:space="preserve">Security controls were chosen so that they protect the system without making legitimate use painful: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C9D3E0" w:sz="4"/>
              <w:left w:val="single" w:color="C9D3E0" w:sz="4"/>
              <w:bottom w:val="single" w:color="C9D3E0" w:sz="4"/>
              <w:right w:val="single" w:color="C9D3E0" w:sz="4"/>
            </w:tcBorders>
            <w:shd w:fill="0F766E" w:color="auto" w:val="clear"/>
            <w:tcMar>
              <w:top w:type="dxa" w:w="40"/>
              <w:left w:type="dxa" w:w="90"/>
              <w:bottom w:type="dxa" w:w="40"/>
              <w:right w:type="dxa" w:w="90"/>
            </w:tcMar>
          </w:tcPr>
          <w:p>
            <w:pPr>
              <w:spacing w:after="0" w:line="240"/>
            </w:pPr>
            <w:r>
              <w:rPr>
                <w:b/>
                <w:bCs/>
                <w:color w:val="FFFFFF"/>
                <w:sz w:val="19"/>
                <w:szCs w:val="19"/>
              </w:rPr>
              <w:t xml:space="preserve">Control</w:t>
            </w:r>
          </w:p>
        </w:tc>
        <w:tc>
          <w:tcPr>
            <w:tcW w:type="dxa" w:w="6446"/>
            <w:tcBorders>
              <w:top w:val="single" w:color="C9D3E0" w:sz="4"/>
              <w:left w:val="single" w:color="C9D3E0" w:sz="4"/>
              <w:bottom w:val="single" w:color="C9D3E0" w:sz="4"/>
              <w:right w:val="single" w:color="C9D3E0" w:sz="4"/>
            </w:tcBorders>
            <w:shd w:fill="0F766E" w:color="auto" w:val="clear"/>
            <w:tcMar>
              <w:top w:type="dxa" w:w="40"/>
              <w:left w:type="dxa" w:w="90"/>
              <w:bottom w:type="dxa" w:w="40"/>
              <w:right w:type="dxa" w:w="90"/>
            </w:tcMar>
          </w:tcPr>
          <w:p>
            <w:pPr>
              <w:spacing w:after="0" w:line="240"/>
            </w:pPr>
            <w:r>
              <w:rPr>
                <w:b/>
                <w:bCs/>
                <w:color w:val="FFFFFF"/>
                <w:sz w:val="19"/>
                <w:szCs w:val="19"/>
              </w:rPr>
              <w:t xml:space="preserve">How it protects, and why it stays usable</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Lockout: 5 failures, 15 minutes</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Stops password guessing; unlocks by itself, and an administrator can unlock sooner</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10-minute idle session timeout</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Protects unattended devices; signing in again takes seconds</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±1 step TOTP window</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Tolerates small clock differences between phone and browser</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Least-privilege default role</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Everyone can read at once; extra rights are granted deliberately</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Audit log</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Gives accountability (sign-ins, failures, role changes, denied access) without blocking anyone</w:t>
            </w:r>
          </w:p>
        </w:tc>
      </w:tr>
      <w:tr>
        <w:tc>
          <w:tcPr>
            <w:tcW w:type="dxa" w:w="3300"/>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CSP header, textContent output</w:t>
            </w:r>
          </w:p>
        </w:tc>
        <w:tc>
          <w:tcPr>
            <w:tcW w:type="dxa" w:w="6446"/>
            <w:tcBorders>
              <w:top w:val="single" w:color="C9D3E0" w:sz="4"/>
              <w:left w:val="single" w:color="C9D3E0" w:sz="4"/>
              <w:bottom w:val="single" w:color="C9D3E0" w:sz="4"/>
              <w:right w:val="single" w:color="C9D3E0" w:sz="4"/>
            </w:tcBorders>
            <w:tcMar>
              <w:top w:type="dxa" w:w="40"/>
              <w:left w:type="dxa" w:w="90"/>
              <w:bottom w:type="dxa" w:w="40"/>
              <w:right w:type="dxa" w:w="90"/>
            </w:tcMar>
          </w:tcPr>
          <w:p>
            <w:pPr>
              <w:spacing w:after="0" w:line="240"/>
            </w:pPr>
            <w:r>
              <w:rPr>
                <w:b w:val="false"/>
                <w:bCs w:val="false"/>
                <w:color w:val="1F2937"/>
                <w:sz w:val="19"/>
                <w:szCs w:val="19"/>
              </w:rPr>
              <w:t xml:space="preserve">Blocks injected scripts (XSS) while users notice nothing</w:t>
            </w:r>
          </w:p>
        </w:tc>
      </w:tr>
    </w:tbl>
    <w:p>
      <w:pPr>
        <w:spacing w:after="40"/>
      </w:pPr>
    </w:p>
    <w:p>
      <w:pPr>
        <w:pStyle w:val="Heading1"/>
      </w:pPr>
      <w:r>
        <w:t xml:space="preserve">7. Deployment and testing</w:t>
      </w:r>
    </w:p>
    <w:p>
      <w:pPr>
        <w:spacing w:after="70" w:line="252"/>
        <w:jc w:val="both"/>
      </w:pPr>
      <w:r>
        <w:t xml:space="preserve">The five project files (the four above plus vercel.json, which adds security headers such as Content-Security-Policy and HSTS) are uploaded to a GitHub repository and imported into Vercel with no build step; Vercel serves them over HTTPS automatically. Before deploying, the pepper value in crypto.js must be replaced with a new random string. Testing covered unit tests of hashing and TOTP, and an automated browser run of the whole journey: weak-password rejection, registration with 2FA, wrong password, unknown user, replayed code, role-based denial and account lockout. All passed.</w:t>
      </w:r>
    </w:p>
    <w:p>
      <w:pPr>
        <w:pStyle w:val="Heading1"/>
      </w:pPr>
      <w:r>
        <w:t xml:space="preserve">8. Limitations and next steps</w:t>
      </w:r>
    </w:p>
    <w:p>
      <w:pPr>
        <w:spacing w:after="70" w:line="252"/>
        <w:jc w:val="both"/>
      </w:pPr>
      <w:r>
        <w:t xml:space="preserve">Because everything runs in the browser, the pepper is visible in the JavaScript and local data can be edited with developer tools, so this version demonstrates the concepts but cannot be trusted for real accounts. A production version would move verification to a server (for example Vercel serverless functions with a database), keep the pepper in an environment variable or secrets manager, use Argon2id, issue HttpOnly session cookies, rate-limit by IP address, enforce roles on the server and add recovery codes for lost phones.</w:t>
      </w:r>
    </w:p>
    <w:sectPr>
      <w:footerReference w:type="default" r:id="rId6"/>
      <w:pgSz w:w="11906" w:h="16838" w:orient="portrait"/>
      <w:pgMar w:top="10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SecureGate implementation report  |  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50" w:before="130"/>
      <w:outlineLvl w:val="0"/>
    </w:pPr>
    <w:rPr>
      <w:rFonts w:ascii="Calibri" w:cs="Calibri" w:eastAsia="Calibri" w:hAnsi="Calibri"/>
      <w:b/>
      <w:bCs/>
      <w:color w:val="0F766E"/>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SecureGate: Secure Login System, Implementation Report</dc:title>
  <dc:creator>SecureGate</dc:creator>
  <cp:lastModifiedBy>Un-named</cp:lastModifiedBy>
  <cp:revision>1</cp:revision>
  <dcterms:created xsi:type="dcterms:W3CDTF">2026-10-26T19:20:33.852Z</dcterms:created>
  <dcterms:modified xsi:type="dcterms:W3CDTF">2026-10-26T19:20:33.852Z</dcterms:modified>
</cp:coreProperties>
</file>

<file path=docProps/custom.xml><?xml version="1.0" encoding="utf-8"?>
<Properties xmlns="http://schemas.openxmlformats.org/officeDocument/2006/custom-properties" xmlns:vt="http://schemas.openxmlformats.org/officeDocument/2006/docPropsVTypes"/>
</file>