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61" w:type="dxa"/>
        <w:tblInd w:w="0" w:type="dxa"/>
        <w:tblCellMar>
          <w:top w:w="4" w:type="dxa"/>
          <w:bottom w:w="7" w:type="dxa"/>
          <w:right w:w="71" w:type="dxa"/>
        </w:tblCellMar>
        <w:tblLook w:val="04A0" w:firstRow="1" w:lastRow="0" w:firstColumn="1" w:lastColumn="0" w:noHBand="0" w:noVBand="1"/>
      </w:tblPr>
      <w:tblGrid>
        <w:gridCol w:w="2740"/>
        <w:gridCol w:w="7321"/>
      </w:tblGrid>
      <w:tr w:rsidR="004C2330" w:rsidRPr="004C2330" w14:paraId="3A349609" w14:textId="77777777" w:rsidTr="00EE0C32">
        <w:trPr>
          <w:trHeight w:val="498"/>
        </w:trPr>
        <w:tc>
          <w:tcPr>
            <w:tcW w:w="2740" w:type="dxa"/>
            <w:tcBorders>
              <w:top w:val="single" w:sz="4" w:space="0" w:color="000000"/>
              <w:left w:val="nil"/>
              <w:bottom w:val="single" w:sz="4" w:space="0" w:color="000000"/>
              <w:right w:val="nil"/>
            </w:tcBorders>
            <w:vAlign w:val="center"/>
          </w:tcPr>
          <w:p w14:paraId="71BA3EED" w14:textId="77777777" w:rsidR="004C2330" w:rsidRPr="004C2330" w:rsidRDefault="004C2330" w:rsidP="004C2330">
            <w:pPr>
              <w:spacing w:after="0"/>
              <w:rPr>
                <w:rFonts w:ascii="Arial" w:hAnsi="Arial" w:cs="Arial"/>
                <w:sz w:val="20"/>
                <w:szCs w:val="20"/>
              </w:rPr>
            </w:pPr>
            <w:r w:rsidRPr="004C2330">
              <w:rPr>
                <w:rFonts w:ascii="Arial" w:hAnsi="Arial" w:cs="Arial"/>
                <w:sz w:val="20"/>
                <w:szCs w:val="20"/>
              </w:rPr>
              <w:t>Career Objectives</w:t>
            </w:r>
          </w:p>
        </w:tc>
        <w:tc>
          <w:tcPr>
            <w:tcW w:w="7321" w:type="dxa"/>
            <w:tcBorders>
              <w:top w:val="single" w:sz="4" w:space="0" w:color="000000"/>
              <w:left w:val="nil"/>
              <w:bottom w:val="single" w:sz="4" w:space="0" w:color="000000"/>
              <w:right w:val="nil"/>
            </w:tcBorders>
          </w:tcPr>
          <w:p w14:paraId="110CFC37" w14:textId="77777777" w:rsidR="004C2330" w:rsidRPr="004C2330" w:rsidRDefault="004C2330" w:rsidP="004C2330">
            <w:pPr>
              <w:spacing w:after="0"/>
              <w:rPr>
                <w:rFonts w:ascii="Arial" w:hAnsi="Arial" w:cs="Arial"/>
                <w:sz w:val="20"/>
                <w:szCs w:val="20"/>
              </w:rPr>
            </w:pPr>
            <w:r w:rsidRPr="004C2330">
              <w:rPr>
                <w:rFonts w:ascii="Arial" w:hAnsi="Arial" w:cs="Arial"/>
                <w:sz w:val="20"/>
                <w:szCs w:val="20"/>
              </w:rPr>
              <w:t>Have strong interest in financial market and want to further career growth within hedge fund industry only</w:t>
            </w:r>
          </w:p>
        </w:tc>
      </w:tr>
      <w:tr w:rsidR="004C2330" w:rsidRPr="004C2330" w14:paraId="22DCBF40" w14:textId="77777777" w:rsidTr="00EE0C32">
        <w:trPr>
          <w:trHeight w:val="1080"/>
        </w:trPr>
        <w:tc>
          <w:tcPr>
            <w:tcW w:w="2740" w:type="dxa"/>
            <w:tcBorders>
              <w:top w:val="single" w:sz="4" w:space="0" w:color="000000"/>
              <w:left w:val="nil"/>
              <w:bottom w:val="nil"/>
              <w:right w:val="nil"/>
            </w:tcBorders>
          </w:tcPr>
          <w:p w14:paraId="0E6C98C3" w14:textId="77777777" w:rsidR="004C2330" w:rsidRPr="004C2330" w:rsidRDefault="004C2330" w:rsidP="004C2330">
            <w:pPr>
              <w:spacing w:after="135"/>
              <w:rPr>
                <w:rFonts w:ascii="Arial" w:hAnsi="Arial" w:cs="Arial"/>
                <w:sz w:val="20"/>
                <w:szCs w:val="20"/>
              </w:rPr>
            </w:pPr>
            <w:r w:rsidRPr="004C2330">
              <w:rPr>
                <w:rFonts w:ascii="Arial" w:hAnsi="Arial" w:cs="Arial"/>
                <w:b/>
                <w:sz w:val="20"/>
                <w:szCs w:val="20"/>
              </w:rPr>
              <w:t>Education Qualifications</w:t>
            </w:r>
          </w:p>
          <w:p w14:paraId="772D1ADF" w14:textId="77777777" w:rsidR="004C2330" w:rsidRPr="004C2330" w:rsidRDefault="004C2330" w:rsidP="004C2330">
            <w:pPr>
              <w:spacing w:after="0"/>
              <w:rPr>
                <w:rFonts w:ascii="Arial" w:hAnsi="Arial" w:cs="Arial"/>
                <w:sz w:val="20"/>
                <w:szCs w:val="20"/>
              </w:rPr>
            </w:pPr>
            <w:r w:rsidRPr="004C2330">
              <w:rPr>
                <w:rFonts w:ascii="Arial" w:hAnsi="Arial" w:cs="Arial"/>
                <w:sz w:val="20"/>
                <w:szCs w:val="20"/>
              </w:rPr>
              <w:t>Sep 2011 to Aug 2013</w:t>
            </w:r>
          </w:p>
        </w:tc>
        <w:tc>
          <w:tcPr>
            <w:tcW w:w="7321" w:type="dxa"/>
            <w:tcBorders>
              <w:top w:val="single" w:sz="4" w:space="0" w:color="000000"/>
              <w:left w:val="nil"/>
              <w:bottom w:val="nil"/>
              <w:right w:val="nil"/>
            </w:tcBorders>
            <w:vAlign w:val="bottom"/>
          </w:tcPr>
          <w:p w14:paraId="186CD965" w14:textId="77777777" w:rsidR="004C2330" w:rsidRPr="004C2330" w:rsidRDefault="004C2330" w:rsidP="004C2330">
            <w:pPr>
              <w:spacing w:after="0"/>
              <w:ind w:right="636"/>
              <w:rPr>
                <w:rFonts w:ascii="Arial" w:hAnsi="Arial" w:cs="Arial"/>
                <w:sz w:val="20"/>
                <w:szCs w:val="20"/>
              </w:rPr>
            </w:pPr>
            <w:r w:rsidRPr="004C2330">
              <w:rPr>
                <w:rFonts w:ascii="Arial" w:hAnsi="Arial" w:cs="Arial"/>
                <w:sz w:val="20"/>
                <w:szCs w:val="20"/>
              </w:rPr>
              <w:t>BSc (Hons) Banking and Finance Degree – University of London International Programmes – Second Class Honours (Upper Division)</w:t>
            </w:r>
          </w:p>
        </w:tc>
      </w:tr>
      <w:tr w:rsidR="004C2330" w:rsidRPr="004C2330" w14:paraId="768B21C7" w14:textId="77777777" w:rsidTr="00EE0C32">
        <w:trPr>
          <w:trHeight w:val="461"/>
        </w:trPr>
        <w:tc>
          <w:tcPr>
            <w:tcW w:w="2740" w:type="dxa"/>
            <w:tcBorders>
              <w:top w:val="nil"/>
              <w:left w:val="nil"/>
              <w:bottom w:val="single" w:sz="4" w:space="0" w:color="000000"/>
              <w:right w:val="nil"/>
            </w:tcBorders>
          </w:tcPr>
          <w:p w14:paraId="09A1BFA3" w14:textId="77777777" w:rsidR="004C2330" w:rsidRPr="004C2330" w:rsidRDefault="004C2330" w:rsidP="004C2330">
            <w:pPr>
              <w:spacing w:after="0"/>
              <w:rPr>
                <w:rFonts w:ascii="Arial" w:hAnsi="Arial" w:cs="Arial"/>
                <w:sz w:val="20"/>
                <w:szCs w:val="20"/>
              </w:rPr>
            </w:pPr>
            <w:r w:rsidRPr="004C2330">
              <w:rPr>
                <w:rFonts w:ascii="Arial" w:hAnsi="Arial" w:cs="Arial"/>
                <w:sz w:val="20"/>
                <w:szCs w:val="20"/>
              </w:rPr>
              <w:t>Mar 2006 to Mar 2009</w:t>
            </w:r>
          </w:p>
        </w:tc>
        <w:tc>
          <w:tcPr>
            <w:tcW w:w="7321" w:type="dxa"/>
            <w:tcBorders>
              <w:top w:val="nil"/>
              <w:left w:val="nil"/>
              <w:bottom w:val="single" w:sz="4" w:space="0" w:color="000000"/>
              <w:right w:val="nil"/>
            </w:tcBorders>
          </w:tcPr>
          <w:p w14:paraId="1D418B56" w14:textId="77777777" w:rsidR="004C2330" w:rsidRPr="004C2330" w:rsidRDefault="004C2330" w:rsidP="004C2330">
            <w:pPr>
              <w:spacing w:after="0"/>
              <w:rPr>
                <w:rFonts w:ascii="Arial" w:hAnsi="Arial" w:cs="Arial"/>
                <w:sz w:val="20"/>
                <w:szCs w:val="20"/>
              </w:rPr>
            </w:pPr>
            <w:r w:rsidRPr="004C2330">
              <w:rPr>
                <w:rFonts w:ascii="Arial" w:hAnsi="Arial" w:cs="Arial"/>
                <w:sz w:val="20"/>
                <w:szCs w:val="20"/>
              </w:rPr>
              <w:t>Diploma in Banking and Financial Services (Major in Financial Trading), Singapore Polytechnic</w:t>
            </w:r>
          </w:p>
        </w:tc>
      </w:tr>
      <w:tr w:rsidR="004C2330" w:rsidRPr="004C2330" w14:paraId="4A0BEE37" w14:textId="77777777" w:rsidTr="00EE0C32">
        <w:trPr>
          <w:trHeight w:val="714"/>
        </w:trPr>
        <w:tc>
          <w:tcPr>
            <w:tcW w:w="2740" w:type="dxa"/>
            <w:tcBorders>
              <w:top w:val="single" w:sz="4" w:space="0" w:color="000000"/>
              <w:left w:val="nil"/>
              <w:bottom w:val="single" w:sz="4" w:space="0" w:color="000000"/>
              <w:right w:val="nil"/>
            </w:tcBorders>
          </w:tcPr>
          <w:p w14:paraId="529BD0B1" w14:textId="77777777" w:rsidR="004C2330" w:rsidRPr="004C2330" w:rsidRDefault="004C2330" w:rsidP="004C2330">
            <w:pPr>
              <w:spacing w:after="100"/>
              <w:rPr>
                <w:rFonts w:ascii="Arial" w:hAnsi="Arial" w:cs="Arial"/>
                <w:sz w:val="20"/>
                <w:szCs w:val="20"/>
              </w:rPr>
            </w:pPr>
            <w:r w:rsidRPr="004C2330">
              <w:rPr>
                <w:rFonts w:ascii="Arial" w:hAnsi="Arial" w:cs="Arial"/>
                <w:b/>
                <w:sz w:val="20"/>
                <w:szCs w:val="20"/>
              </w:rPr>
              <w:t>Certificate</w:t>
            </w:r>
          </w:p>
          <w:p w14:paraId="3EA20AD1" w14:textId="77777777" w:rsidR="004C2330" w:rsidRPr="004C2330" w:rsidRDefault="004C2330" w:rsidP="004C2330">
            <w:pPr>
              <w:spacing w:after="0"/>
              <w:rPr>
                <w:rFonts w:ascii="Arial" w:hAnsi="Arial" w:cs="Arial"/>
                <w:sz w:val="20"/>
                <w:szCs w:val="20"/>
              </w:rPr>
            </w:pPr>
            <w:r w:rsidRPr="004C2330">
              <w:rPr>
                <w:rFonts w:ascii="Arial" w:hAnsi="Arial" w:cs="Arial"/>
                <w:sz w:val="20"/>
                <w:szCs w:val="20"/>
              </w:rPr>
              <w:t>June 2009</w:t>
            </w:r>
          </w:p>
        </w:tc>
        <w:tc>
          <w:tcPr>
            <w:tcW w:w="7321" w:type="dxa"/>
            <w:tcBorders>
              <w:top w:val="single" w:sz="4" w:space="0" w:color="000000"/>
              <w:left w:val="nil"/>
              <w:bottom w:val="single" w:sz="4" w:space="0" w:color="000000"/>
              <w:right w:val="nil"/>
            </w:tcBorders>
            <w:vAlign w:val="bottom"/>
          </w:tcPr>
          <w:p w14:paraId="6985B8B5" w14:textId="77777777" w:rsidR="004C2330" w:rsidRPr="004C2330" w:rsidRDefault="004C2330" w:rsidP="004C2330">
            <w:pPr>
              <w:spacing w:after="0"/>
              <w:jc w:val="both"/>
              <w:rPr>
                <w:rFonts w:ascii="Arial" w:hAnsi="Arial" w:cs="Arial"/>
                <w:sz w:val="20"/>
                <w:szCs w:val="20"/>
              </w:rPr>
            </w:pPr>
            <w:r w:rsidRPr="004C2330">
              <w:rPr>
                <w:rFonts w:ascii="Arial" w:hAnsi="Arial" w:cs="Arial"/>
                <w:sz w:val="20"/>
                <w:szCs w:val="20"/>
              </w:rPr>
              <w:t>Certificate in Technical Analysis (Finance) awarded by Singapore Technical analysts &amp; Trader Society - Taken due to self interest</w:t>
            </w:r>
          </w:p>
        </w:tc>
      </w:tr>
    </w:tbl>
    <w:p w14:paraId="66590B84" w14:textId="51FAC544" w:rsidR="00C74A70" w:rsidRPr="00AC2846" w:rsidRDefault="00C74A70" w:rsidP="004C2330">
      <w:pPr>
        <w:spacing w:after="518" w:line="244" w:lineRule="auto"/>
        <w:ind w:right="1225"/>
        <w:rPr>
          <w:rFonts w:ascii="Arial" w:hAnsi="Arial" w:cs="Arial"/>
          <w:b/>
          <w:sz w:val="20"/>
          <w:szCs w:val="20"/>
        </w:rPr>
      </w:pPr>
      <w:bookmarkStart w:id="0" w:name="_GoBack"/>
    </w:p>
    <w:p w14:paraId="1C6EB4F2" w14:textId="3F44D1BE" w:rsidR="00AC2846" w:rsidRPr="00AC2846" w:rsidRDefault="00AC2846" w:rsidP="004C2330">
      <w:pPr>
        <w:spacing w:after="518" w:line="244" w:lineRule="auto"/>
        <w:ind w:right="1225"/>
        <w:rPr>
          <w:rFonts w:ascii="Arial" w:hAnsi="Arial" w:cs="Arial"/>
          <w:b/>
          <w:sz w:val="20"/>
          <w:szCs w:val="20"/>
        </w:rPr>
      </w:pPr>
      <w:r w:rsidRPr="00AC2846">
        <w:rPr>
          <w:rFonts w:ascii="Arial" w:hAnsi="Arial" w:cs="Arial"/>
          <w:b/>
          <w:sz w:val="20"/>
          <w:szCs w:val="20"/>
        </w:rPr>
        <w:t>HOLLY</w:t>
      </w:r>
    </w:p>
    <w:tbl>
      <w:tblPr>
        <w:tblStyle w:val="TableGrid"/>
        <w:tblpPr w:vertAnchor="page" w:horzAnchor="page" w:tblpX="576" w:tblpY="6660"/>
        <w:tblOverlap w:val="never"/>
        <w:tblW w:w="9818" w:type="dxa"/>
        <w:tblInd w:w="0" w:type="dxa"/>
        <w:tblLook w:val="04A0" w:firstRow="1" w:lastRow="0" w:firstColumn="1" w:lastColumn="0" w:noHBand="0" w:noVBand="1"/>
      </w:tblPr>
      <w:tblGrid>
        <w:gridCol w:w="2610"/>
        <w:gridCol w:w="802"/>
        <w:gridCol w:w="6406"/>
      </w:tblGrid>
      <w:tr w:rsidR="00C74A70" w:rsidRPr="004C2330" w14:paraId="763F0C01" w14:textId="77777777" w:rsidTr="004C2330">
        <w:trPr>
          <w:trHeight w:val="3795"/>
        </w:trPr>
        <w:tc>
          <w:tcPr>
            <w:tcW w:w="2610" w:type="dxa"/>
            <w:tcBorders>
              <w:top w:val="nil"/>
              <w:left w:val="nil"/>
              <w:bottom w:val="nil"/>
              <w:right w:val="nil"/>
            </w:tcBorders>
          </w:tcPr>
          <w:bookmarkEnd w:id="0"/>
          <w:p w14:paraId="011BB999" w14:textId="77777777" w:rsidR="00C74A70" w:rsidRPr="004C2330" w:rsidRDefault="004C2330" w:rsidP="004C2330">
            <w:pPr>
              <w:spacing w:after="0"/>
              <w:rPr>
                <w:rFonts w:ascii="Arial" w:hAnsi="Arial" w:cs="Arial"/>
                <w:sz w:val="20"/>
                <w:szCs w:val="20"/>
              </w:rPr>
            </w:pPr>
            <w:r w:rsidRPr="004C2330">
              <w:rPr>
                <w:rFonts w:ascii="Arial" w:hAnsi="Arial" w:cs="Arial"/>
                <w:sz w:val="20"/>
                <w:szCs w:val="20"/>
              </w:rPr>
              <w:t>Dec 2016 to Present</w:t>
            </w:r>
          </w:p>
        </w:tc>
        <w:tc>
          <w:tcPr>
            <w:tcW w:w="7208" w:type="dxa"/>
            <w:gridSpan w:val="2"/>
            <w:tcBorders>
              <w:top w:val="nil"/>
              <w:left w:val="nil"/>
              <w:bottom w:val="nil"/>
              <w:right w:val="nil"/>
            </w:tcBorders>
          </w:tcPr>
          <w:p w14:paraId="1FABD29D" w14:textId="77777777" w:rsidR="00C74A70" w:rsidRPr="004C2330" w:rsidRDefault="004C2330" w:rsidP="004C2330">
            <w:pPr>
              <w:spacing w:after="0"/>
              <w:rPr>
                <w:rFonts w:ascii="Arial" w:hAnsi="Arial" w:cs="Arial"/>
                <w:sz w:val="20"/>
                <w:szCs w:val="20"/>
              </w:rPr>
            </w:pPr>
            <w:r w:rsidRPr="004C2330">
              <w:rPr>
                <w:rFonts w:ascii="Arial" w:hAnsi="Arial" w:cs="Arial"/>
                <w:b/>
                <w:sz w:val="20"/>
                <w:szCs w:val="20"/>
              </w:rPr>
              <w:t>Senior Fund Accountant at Citco Fund Services (Singapore), Shared Services Centre</w:t>
            </w:r>
          </w:p>
          <w:p w14:paraId="1DBB9513" w14:textId="77777777" w:rsidR="00C74A70" w:rsidRPr="004C2330" w:rsidRDefault="004C2330" w:rsidP="004C2330">
            <w:pPr>
              <w:spacing w:after="0"/>
              <w:rPr>
                <w:rFonts w:ascii="Arial" w:hAnsi="Arial" w:cs="Arial"/>
                <w:sz w:val="20"/>
                <w:szCs w:val="20"/>
              </w:rPr>
            </w:pPr>
            <w:r w:rsidRPr="004C2330">
              <w:rPr>
                <w:rFonts w:ascii="Arial" w:hAnsi="Arial" w:cs="Arial"/>
                <w:sz w:val="20"/>
                <w:szCs w:val="20"/>
              </w:rPr>
              <w:t>Role and responsibilities include:</w:t>
            </w:r>
          </w:p>
          <w:p w14:paraId="4052B62F" w14:textId="77777777" w:rsidR="00C74A70" w:rsidRPr="004C2330" w:rsidRDefault="004C2330" w:rsidP="004C2330">
            <w:pPr>
              <w:numPr>
                <w:ilvl w:val="0"/>
                <w:numId w:val="1"/>
              </w:numPr>
              <w:spacing w:after="0" w:line="247" w:lineRule="auto"/>
              <w:ind w:left="0" w:hanging="341"/>
              <w:jc w:val="both"/>
              <w:rPr>
                <w:rFonts w:ascii="Arial" w:hAnsi="Arial" w:cs="Arial"/>
                <w:sz w:val="20"/>
                <w:szCs w:val="20"/>
              </w:rPr>
            </w:pPr>
            <w:r w:rsidRPr="004C2330">
              <w:rPr>
                <w:rFonts w:ascii="Arial" w:hAnsi="Arial" w:cs="Arial"/>
                <w:sz w:val="20"/>
                <w:szCs w:val="20"/>
              </w:rPr>
              <w:t>Continue to perform fund services to European hedge funds but take on higher responsibility by handling funds with bigger AUM.</w:t>
            </w:r>
          </w:p>
          <w:p w14:paraId="4023F4B7" w14:textId="77777777" w:rsidR="00C74A70" w:rsidRPr="004C2330" w:rsidRDefault="004C2330" w:rsidP="004C2330">
            <w:pPr>
              <w:numPr>
                <w:ilvl w:val="0"/>
                <w:numId w:val="1"/>
              </w:numPr>
              <w:spacing w:after="0" w:line="247" w:lineRule="auto"/>
              <w:ind w:left="0" w:hanging="341"/>
              <w:jc w:val="both"/>
              <w:rPr>
                <w:rFonts w:ascii="Arial" w:hAnsi="Arial" w:cs="Arial"/>
                <w:sz w:val="20"/>
                <w:szCs w:val="20"/>
              </w:rPr>
            </w:pPr>
            <w:r w:rsidRPr="004C2330">
              <w:rPr>
                <w:rFonts w:ascii="Arial" w:hAnsi="Arial" w:cs="Arial"/>
                <w:sz w:val="20"/>
                <w:szCs w:val="20"/>
              </w:rPr>
              <w:t>Preparation of financial statements and other required reports on a weekly/monthly basis while ensuring tight deadlines are met.</w:t>
            </w:r>
          </w:p>
          <w:p w14:paraId="3E6FE526" w14:textId="77777777" w:rsidR="00C74A70" w:rsidRPr="004C2330" w:rsidRDefault="004C2330" w:rsidP="004C2330">
            <w:pPr>
              <w:numPr>
                <w:ilvl w:val="0"/>
                <w:numId w:val="1"/>
              </w:numPr>
              <w:spacing w:after="0" w:line="250" w:lineRule="auto"/>
              <w:ind w:left="0" w:hanging="341"/>
              <w:jc w:val="both"/>
              <w:rPr>
                <w:rFonts w:ascii="Arial" w:hAnsi="Arial" w:cs="Arial"/>
                <w:sz w:val="20"/>
                <w:szCs w:val="20"/>
              </w:rPr>
            </w:pPr>
            <w:r w:rsidRPr="004C2330">
              <w:rPr>
                <w:rFonts w:ascii="Arial" w:hAnsi="Arial" w:cs="Arial"/>
                <w:sz w:val="20"/>
                <w:szCs w:val="20"/>
              </w:rPr>
              <w:t>Develop and maintain relationships with investment advisors/managers, banks, brokers and investor relation group.</w:t>
            </w:r>
          </w:p>
          <w:p w14:paraId="65B6C662" w14:textId="77777777" w:rsidR="00C74A70" w:rsidRPr="004C2330" w:rsidRDefault="004C2330" w:rsidP="004C2330">
            <w:pPr>
              <w:numPr>
                <w:ilvl w:val="0"/>
                <w:numId w:val="1"/>
              </w:numPr>
              <w:spacing w:after="0"/>
              <w:ind w:left="0" w:hanging="341"/>
              <w:jc w:val="both"/>
              <w:rPr>
                <w:rFonts w:ascii="Arial" w:hAnsi="Arial" w:cs="Arial"/>
                <w:sz w:val="20"/>
                <w:szCs w:val="20"/>
              </w:rPr>
            </w:pPr>
            <w:r w:rsidRPr="004C2330">
              <w:rPr>
                <w:rFonts w:ascii="Arial" w:hAnsi="Arial" w:cs="Arial"/>
                <w:sz w:val="20"/>
                <w:szCs w:val="20"/>
              </w:rPr>
              <w:t>Working closely with account manager in the launch and set up of new funds.</w:t>
            </w:r>
          </w:p>
          <w:p w14:paraId="2FE586CD" w14:textId="77777777" w:rsidR="00C74A70" w:rsidRPr="004C2330" w:rsidRDefault="004C2330" w:rsidP="004C2330">
            <w:pPr>
              <w:numPr>
                <w:ilvl w:val="0"/>
                <w:numId w:val="1"/>
              </w:numPr>
              <w:spacing w:after="3" w:line="242" w:lineRule="auto"/>
              <w:ind w:left="0" w:hanging="341"/>
              <w:jc w:val="both"/>
              <w:rPr>
                <w:rFonts w:ascii="Arial" w:hAnsi="Arial" w:cs="Arial"/>
                <w:sz w:val="20"/>
                <w:szCs w:val="20"/>
              </w:rPr>
            </w:pPr>
            <w:r w:rsidRPr="004C2330">
              <w:rPr>
                <w:rFonts w:ascii="Arial" w:hAnsi="Arial" w:cs="Arial"/>
                <w:sz w:val="20"/>
                <w:szCs w:val="20"/>
              </w:rPr>
              <w:t>Preparation of financial statements and other required reports on a weekly/monthly basis while ensuring deadlines are met.</w:t>
            </w:r>
          </w:p>
          <w:p w14:paraId="13714137" w14:textId="77777777" w:rsidR="00C74A70" w:rsidRPr="004C2330" w:rsidRDefault="004C2330" w:rsidP="004C2330">
            <w:pPr>
              <w:numPr>
                <w:ilvl w:val="0"/>
                <w:numId w:val="1"/>
              </w:numPr>
              <w:spacing w:after="0" w:line="250" w:lineRule="auto"/>
              <w:ind w:left="0" w:hanging="341"/>
              <w:jc w:val="both"/>
              <w:rPr>
                <w:rFonts w:ascii="Arial" w:hAnsi="Arial" w:cs="Arial"/>
                <w:sz w:val="20"/>
                <w:szCs w:val="20"/>
              </w:rPr>
            </w:pPr>
            <w:r w:rsidRPr="004C2330">
              <w:rPr>
                <w:rFonts w:ascii="Arial" w:hAnsi="Arial" w:cs="Arial"/>
                <w:sz w:val="20"/>
                <w:szCs w:val="20"/>
              </w:rPr>
              <w:t>Coaching and training juniors in understanding calculation of NAV process for new funds assigned to them and reviewing of their work.</w:t>
            </w:r>
          </w:p>
          <w:p w14:paraId="7ADF8D2E" w14:textId="77777777" w:rsidR="00C74A70" w:rsidRPr="004C2330" w:rsidRDefault="004C2330" w:rsidP="004C2330">
            <w:pPr>
              <w:numPr>
                <w:ilvl w:val="0"/>
                <w:numId w:val="1"/>
              </w:numPr>
              <w:spacing w:after="0"/>
              <w:ind w:left="0" w:hanging="341"/>
              <w:jc w:val="both"/>
              <w:rPr>
                <w:rFonts w:ascii="Arial" w:hAnsi="Arial" w:cs="Arial"/>
                <w:sz w:val="20"/>
                <w:szCs w:val="20"/>
              </w:rPr>
            </w:pPr>
            <w:r w:rsidRPr="004C2330">
              <w:rPr>
                <w:rFonts w:ascii="Arial" w:hAnsi="Arial" w:cs="Arial"/>
                <w:sz w:val="20"/>
                <w:szCs w:val="20"/>
              </w:rPr>
              <w:t>Manage juniors and assist them in work to ensure deliverable of funds are not delayed.</w:t>
            </w:r>
          </w:p>
          <w:p w14:paraId="6D38125F" w14:textId="77777777" w:rsidR="00C74A70" w:rsidRPr="004C2330" w:rsidRDefault="004C2330" w:rsidP="004C2330">
            <w:pPr>
              <w:numPr>
                <w:ilvl w:val="0"/>
                <w:numId w:val="1"/>
              </w:numPr>
              <w:spacing w:after="0"/>
              <w:ind w:left="0" w:hanging="341"/>
              <w:jc w:val="both"/>
              <w:rPr>
                <w:rFonts w:ascii="Arial" w:hAnsi="Arial" w:cs="Arial"/>
                <w:sz w:val="20"/>
                <w:szCs w:val="20"/>
              </w:rPr>
            </w:pPr>
            <w:r w:rsidRPr="004C2330">
              <w:rPr>
                <w:rFonts w:ascii="Arial" w:hAnsi="Arial" w:cs="Arial"/>
                <w:sz w:val="20"/>
                <w:szCs w:val="20"/>
              </w:rPr>
              <w:t xml:space="preserve">Troubleshooting with </w:t>
            </w:r>
            <w:proofErr w:type="spellStart"/>
            <w:r w:rsidRPr="004C2330">
              <w:rPr>
                <w:rFonts w:ascii="Arial" w:hAnsi="Arial" w:cs="Arial"/>
                <w:sz w:val="20"/>
                <w:szCs w:val="20"/>
              </w:rPr>
              <w:t>with</w:t>
            </w:r>
            <w:proofErr w:type="spellEnd"/>
            <w:r w:rsidRPr="004C2330">
              <w:rPr>
                <w:rFonts w:ascii="Arial" w:hAnsi="Arial" w:cs="Arial"/>
                <w:sz w:val="20"/>
                <w:szCs w:val="20"/>
              </w:rPr>
              <w:t xml:space="preserve"> technical support team to resolve financial reporting issues.</w:t>
            </w:r>
          </w:p>
          <w:p w14:paraId="1B25BFAC" w14:textId="77777777" w:rsidR="00C74A70" w:rsidRPr="004C2330" w:rsidRDefault="004C2330" w:rsidP="004C2330">
            <w:pPr>
              <w:numPr>
                <w:ilvl w:val="0"/>
                <w:numId w:val="1"/>
              </w:numPr>
              <w:spacing w:after="0"/>
              <w:ind w:left="0" w:hanging="341"/>
              <w:jc w:val="both"/>
              <w:rPr>
                <w:rFonts w:ascii="Arial" w:hAnsi="Arial" w:cs="Arial"/>
                <w:sz w:val="20"/>
                <w:szCs w:val="20"/>
              </w:rPr>
            </w:pPr>
            <w:r w:rsidRPr="004C2330">
              <w:rPr>
                <w:rFonts w:ascii="Arial" w:hAnsi="Arial" w:cs="Arial"/>
                <w:sz w:val="20"/>
                <w:szCs w:val="20"/>
              </w:rPr>
              <w:t>Assist account manager to prepare reports for auditors and respond to auditor queries.</w:t>
            </w:r>
          </w:p>
          <w:p w14:paraId="1236F863" w14:textId="77777777" w:rsidR="00C74A70" w:rsidRPr="004C2330" w:rsidRDefault="004C2330" w:rsidP="004C2330">
            <w:pPr>
              <w:numPr>
                <w:ilvl w:val="0"/>
                <w:numId w:val="1"/>
              </w:numPr>
              <w:spacing w:after="0" w:line="245" w:lineRule="auto"/>
              <w:ind w:left="0" w:hanging="341"/>
              <w:jc w:val="both"/>
              <w:rPr>
                <w:rFonts w:ascii="Arial" w:hAnsi="Arial" w:cs="Arial"/>
                <w:sz w:val="20"/>
                <w:szCs w:val="20"/>
              </w:rPr>
            </w:pPr>
            <w:r w:rsidRPr="004C2330">
              <w:rPr>
                <w:rFonts w:ascii="Arial" w:hAnsi="Arial" w:cs="Arial"/>
                <w:sz w:val="20"/>
                <w:szCs w:val="20"/>
              </w:rPr>
              <w:t>Complying and onboard new internal controls, policies and procedures. Review and make suggestions for process improvement.</w:t>
            </w:r>
          </w:p>
          <w:p w14:paraId="61E3ABB4" w14:textId="77777777" w:rsidR="00C74A70" w:rsidRPr="004C2330" w:rsidRDefault="004C2330" w:rsidP="004C2330">
            <w:pPr>
              <w:numPr>
                <w:ilvl w:val="0"/>
                <w:numId w:val="1"/>
              </w:numPr>
              <w:spacing w:after="0"/>
              <w:ind w:left="0" w:hanging="341"/>
              <w:jc w:val="both"/>
              <w:rPr>
                <w:rFonts w:ascii="Arial" w:hAnsi="Arial" w:cs="Arial"/>
                <w:sz w:val="20"/>
                <w:szCs w:val="20"/>
              </w:rPr>
            </w:pPr>
            <w:r w:rsidRPr="004C2330">
              <w:rPr>
                <w:rFonts w:ascii="Arial" w:hAnsi="Arial" w:cs="Arial"/>
                <w:sz w:val="20"/>
                <w:szCs w:val="20"/>
              </w:rPr>
              <w:t>Assist account manager in any ad-hoc projects when necessary</w:t>
            </w:r>
          </w:p>
        </w:tc>
      </w:tr>
      <w:tr w:rsidR="00C74A70" w:rsidRPr="004C2330" w14:paraId="6CE87BBC" w14:textId="77777777" w:rsidTr="004C2330">
        <w:trPr>
          <w:trHeight w:val="679"/>
        </w:trPr>
        <w:tc>
          <w:tcPr>
            <w:tcW w:w="2610" w:type="dxa"/>
            <w:vMerge w:val="restart"/>
            <w:tcBorders>
              <w:top w:val="nil"/>
              <w:left w:val="nil"/>
              <w:bottom w:val="nil"/>
              <w:right w:val="nil"/>
            </w:tcBorders>
          </w:tcPr>
          <w:p w14:paraId="6BBC669D" w14:textId="77777777" w:rsidR="00C74A70" w:rsidRPr="004C2330" w:rsidRDefault="004C2330" w:rsidP="004C2330">
            <w:pPr>
              <w:spacing w:after="0"/>
              <w:rPr>
                <w:rFonts w:ascii="Arial" w:hAnsi="Arial" w:cs="Arial"/>
                <w:sz w:val="20"/>
                <w:szCs w:val="20"/>
              </w:rPr>
            </w:pPr>
            <w:r w:rsidRPr="004C2330">
              <w:rPr>
                <w:rFonts w:ascii="Arial" w:hAnsi="Arial" w:cs="Arial"/>
                <w:sz w:val="20"/>
                <w:szCs w:val="20"/>
              </w:rPr>
              <w:t>Mar 2014 to December 2016</w:t>
            </w:r>
          </w:p>
        </w:tc>
        <w:tc>
          <w:tcPr>
            <w:tcW w:w="7208" w:type="dxa"/>
            <w:gridSpan w:val="2"/>
            <w:tcBorders>
              <w:top w:val="nil"/>
              <w:left w:val="nil"/>
              <w:bottom w:val="nil"/>
              <w:right w:val="nil"/>
            </w:tcBorders>
          </w:tcPr>
          <w:p w14:paraId="35B996BD" w14:textId="77777777" w:rsidR="00C74A70" w:rsidRPr="004C2330" w:rsidRDefault="004C2330" w:rsidP="004C2330">
            <w:pPr>
              <w:spacing w:after="0"/>
              <w:rPr>
                <w:rFonts w:ascii="Arial" w:hAnsi="Arial" w:cs="Arial"/>
                <w:sz w:val="20"/>
                <w:szCs w:val="20"/>
              </w:rPr>
            </w:pPr>
            <w:r w:rsidRPr="004C2330">
              <w:rPr>
                <w:rFonts w:ascii="Arial" w:hAnsi="Arial" w:cs="Arial"/>
                <w:b/>
                <w:sz w:val="20"/>
                <w:szCs w:val="20"/>
              </w:rPr>
              <w:t>Fund Accountant at Citco Fund Services (Singapore), Shared Services Centre</w:t>
            </w:r>
          </w:p>
          <w:p w14:paraId="2BD89452" w14:textId="77777777" w:rsidR="00C74A70" w:rsidRPr="004C2330" w:rsidRDefault="004C2330" w:rsidP="004C2330">
            <w:pPr>
              <w:spacing w:after="0"/>
              <w:rPr>
                <w:rFonts w:ascii="Arial" w:hAnsi="Arial" w:cs="Arial"/>
                <w:sz w:val="20"/>
                <w:szCs w:val="20"/>
              </w:rPr>
            </w:pPr>
            <w:r w:rsidRPr="004C2330">
              <w:rPr>
                <w:rFonts w:ascii="Arial" w:hAnsi="Arial" w:cs="Arial"/>
                <w:sz w:val="20"/>
                <w:szCs w:val="20"/>
              </w:rPr>
              <w:t>Role and responsibilities include:</w:t>
            </w:r>
          </w:p>
          <w:p w14:paraId="2EBEE874" w14:textId="77777777" w:rsidR="00C74A70" w:rsidRPr="004C2330" w:rsidRDefault="004C2330" w:rsidP="004C2330">
            <w:pPr>
              <w:tabs>
                <w:tab w:val="center" w:pos="498"/>
                <w:tab w:val="right" w:pos="8141"/>
              </w:tabs>
              <w:spacing w:after="0"/>
              <w:rPr>
                <w:rFonts w:ascii="Arial" w:hAnsi="Arial" w:cs="Arial"/>
                <w:sz w:val="20"/>
                <w:szCs w:val="20"/>
              </w:rPr>
            </w:pPr>
            <w:r w:rsidRPr="004C2330">
              <w:rPr>
                <w:rFonts w:ascii="Arial" w:eastAsia="Calibri" w:hAnsi="Arial" w:cs="Arial"/>
                <w:sz w:val="20"/>
                <w:szCs w:val="20"/>
              </w:rPr>
              <w:tab/>
            </w:r>
            <w:r w:rsidRPr="004C2330">
              <w:rPr>
                <w:rFonts w:ascii="Arial" w:eastAsia="Segoe UI Symbol" w:hAnsi="Arial" w:cs="Arial"/>
                <w:sz w:val="20"/>
                <w:szCs w:val="20"/>
              </w:rPr>
              <w:t></w:t>
            </w:r>
            <w:r w:rsidRPr="004C2330">
              <w:rPr>
                <w:rFonts w:ascii="Arial" w:eastAsia="Segoe UI Symbol" w:hAnsi="Arial" w:cs="Arial"/>
                <w:sz w:val="20"/>
                <w:szCs w:val="20"/>
              </w:rPr>
              <w:tab/>
            </w:r>
            <w:r w:rsidRPr="004C2330">
              <w:rPr>
                <w:rFonts w:ascii="Arial" w:hAnsi="Arial" w:cs="Arial"/>
                <w:sz w:val="20"/>
                <w:szCs w:val="20"/>
              </w:rPr>
              <w:t>Perform fund administration services to European hedge funds - Clients include Goldman</w:t>
            </w:r>
          </w:p>
        </w:tc>
      </w:tr>
      <w:tr w:rsidR="00C74A70" w:rsidRPr="004C2330" w14:paraId="4305812D" w14:textId="77777777" w:rsidTr="004C2330">
        <w:trPr>
          <w:trHeight w:val="195"/>
        </w:trPr>
        <w:tc>
          <w:tcPr>
            <w:tcW w:w="2610" w:type="dxa"/>
            <w:vMerge/>
            <w:tcBorders>
              <w:top w:val="nil"/>
              <w:left w:val="nil"/>
              <w:bottom w:val="nil"/>
              <w:right w:val="nil"/>
            </w:tcBorders>
          </w:tcPr>
          <w:p w14:paraId="2DDFD415" w14:textId="77777777" w:rsidR="00C74A70" w:rsidRPr="004C2330" w:rsidRDefault="00C74A70" w:rsidP="004C2330">
            <w:pPr>
              <w:spacing w:after="160"/>
              <w:rPr>
                <w:rFonts w:ascii="Arial" w:hAnsi="Arial" w:cs="Arial"/>
                <w:sz w:val="20"/>
                <w:szCs w:val="20"/>
              </w:rPr>
            </w:pPr>
          </w:p>
        </w:tc>
        <w:tc>
          <w:tcPr>
            <w:tcW w:w="802" w:type="dxa"/>
            <w:tcBorders>
              <w:top w:val="nil"/>
              <w:left w:val="nil"/>
              <w:bottom w:val="nil"/>
              <w:right w:val="nil"/>
            </w:tcBorders>
          </w:tcPr>
          <w:p w14:paraId="7ED7FBF9" w14:textId="77777777" w:rsidR="00C74A70" w:rsidRPr="004C2330" w:rsidRDefault="00C74A70" w:rsidP="004C2330">
            <w:pPr>
              <w:spacing w:after="160"/>
              <w:rPr>
                <w:rFonts w:ascii="Arial" w:hAnsi="Arial" w:cs="Arial"/>
                <w:sz w:val="20"/>
                <w:szCs w:val="20"/>
              </w:rPr>
            </w:pPr>
          </w:p>
        </w:tc>
        <w:tc>
          <w:tcPr>
            <w:tcW w:w="6406" w:type="dxa"/>
            <w:tcBorders>
              <w:top w:val="nil"/>
              <w:left w:val="nil"/>
              <w:bottom w:val="nil"/>
              <w:right w:val="nil"/>
            </w:tcBorders>
          </w:tcPr>
          <w:p w14:paraId="3EEA7133" w14:textId="77777777" w:rsidR="00C74A70" w:rsidRPr="004C2330" w:rsidRDefault="004C2330" w:rsidP="004C2330">
            <w:pPr>
              <w:spacing w:after="0"/>
              <w:rPr>
                <w:rFonts w:ascii="Arial" w:hAnsi="Arial" w:cs="Arial"/>
                <w:sz w:val="20"/>
                <w:szCs w:val="20"/>
              </w:rPr>
            </w:pPr>
            <w:proofErr w:type="gramStart"/>
            <w:r w:rsidRPr="004C2330">
              <w:rPr>
                <w:rFonts w:ascii="Arial" w:hAnsi="Arial" w:cs="Arial"/>
                <w:sz w:val="20"/>
                <w:szCs w:val="20"/>
              </w:rPr>
              <w:t>Sachs ,</w:t>
            </w:r>
            <w:proofErr w:type="gramEnd"/>
            <w:r w:rsidRPr="004C2330">
              <w:rPr>
                <w:rFonts w:ascii="Arial" w:hAnsi="Arial" w:cs="Arial"/>
                <w:sz w:val="20"/>
                <w:szCs w:val="20"/>
              </w:rPr>
              <w:t xml:space="preserve"> Winton Capital and current major client, Marshall Wace</w:t>
            </w:r>
          </w:p>
        </w:tc>
      </w:tr>
      <w:tr w:rsidR="00C74A70" w:rsidRPr="004C2330" w14:paraId="783B7E41" w14:textId="77777777" w:rsidTr="004C2330">
        <w:trPr>
          <w:trHeight w:val="583"/>
        </w:trPr>
        <w:tc>
          <w:tcPr>
            <w:tcW w:w="2610" w:type="dxa"/>
            <w:tcBorders>
              <w:top w:val="nil"/>
              <w:left w:val="nil"/>
              <w:bottom w:val="nil"/>
              <w:right w:val="nil"/>
            </w:tcBorders>
          </w:tcPr>
          <w:p w14:paraId="45397869" w14:textId="77777777" w:rsidR="00C74A70" w:rsidRPr="004C2330" w:rsidRDefault="00C74A70" w:rsidP="004C2330">
            <w:pPr>
              <w:spacing w:after="160"/>
              <w:rPr>
                <w:rFonts w:ascii="Arial" w:hAnsi="Arial" w:cs="Arial"/>
                <w:sz w:val="20"/>
                <w:szCs w:val="20"/>
              </w:rPr>
            </w:pPr>
          </w:p>
        </w:tc>
        <w:tc>
          <w:tcPr>
            <w:tcW w:w="802" w:type="dxa"/>
            <w:tcBorders>
              <w:top w:val="nil"/>
              <w:left w:val="nil"/>
              <w:bottom w:val="nil"/>
              <w:right w:val="nil"/>
            </w:tcBorders>
          </w:tcPr>
          <w:p w14:paraId="48CD1E8C" w14:textId="77777777" w:rsidR="00C74A70" w:rsidRPr="004C2330" w:rsidRDefault="004C2330" w:rsidP="004C2330">
            <w:pPr>
              <w:spacing w:after="0"/>
              <w:jc w:val="center"/>
              <w:rPr>
                <w:rFonts w:ascii="Arial" w:hAnsi="Arial" w:cs="Arial"/>
                <w:sz w:val="20"/>
                <w:szCs w:val="20"/>
              </w:rPr>
            </w:pPr>
            <w:r w:rsidRPr="004C2330">
              <w:rPr>
                <w:rFonts w:ascii="Arial" w:eastAsia="Segoe UI Symbol" w:hAnsi="Arial" w:cs="Arial"/>
                <w:sz w:val="20"/>
                <w:szCs w:val="20"/>
              </w:rPr>
              <w:t></w:t>
            </w:r>
          </w:p>
        </w:tc>
        <w:tc>
          <w:tcPr>
            <w:tcW w:w="6406" w:type="dxa"/>
            <w:tcBorders>
              <w:top w:val="nil"/>
              <w:left w:val="nil"/>
              <w:bottom w:val="nil"/>
              <w:right w:val="nil"/>
            </w:tcBorders>
          </w:tcPr>
          <w:p w14:paraId="0019C8DD" w14:textId="77777777" w:rsidR="00C74A70" w:rsidRPr="004C2330" w:rsidRDefault="004C2330" w:rsidP="004C2330">
            <w:pPr>
              <w:spacing w:after="0"/>
              <w:ind w:right="5" w:hanging="19"/>
              <w:jc w:val="both"/>
              <w:rPr>
                <w:rFonts w:ascii="Arial" w:hAnsi="Arial" w:cs="Arial"/>
                <w:sz w:val="20"/>
                <w:szCs w:val="20"/>
              </w:rPr>
            </w:pPr>
            <w:r w:rsidRPr="004C2330">
              <w:rPr>
                <w:rFonts w:ascii="Arial" w:hAnsi="Arial" w:cs="Arial"/>
                <w:sz w:val="20"/>
                <w:szCs w:val="20"/>
              </w:rPr>
              <w:t xml:space="preserve">Prepare financial reporting for hedge funds, - Calculation of Net Asset Value and preparation of Statement of Asset and Liabilities and Profit and </w:t>
            </w:r>
            <w:r w:rsidRPr="004C2330">
              <w:rPr>
                <w:rFonts w:ascii="Arial" w:hAnsi="Arial" w:cs="Arial"/>
                <w:sz w:val="20"/>
                <w:szCs w:val="20"/>
              </w:rPr>
              <w:lastRenderedPageBreak/>
              <w:t>Loss Statement on daily/weekly/monthly basis, while ensuring tight deadlines are met.</w:t>
            </w:r>
          </w:p>
        </w:tc>
      </w:tr>
      <w:tr w:rsidR="00C74A70" w:rsidRPr="004C2330" w14:paraId="690EC1EB" w14:textId="77777777" w:rsidTr="004C2330">
        <w:trPr>
          <w:trHeight w:val="778"/>
        </w:trPr>
        <w:tc>
          <w:tcPr>
            <w:tcW w:w="2610" w:type="dxa"/>
            <w:tcBorders>
              <w:top w:val="nil"/>
              <w:left w:val="nil"/>
              <w:bottom w:val="nil"/>
              <w:right w:val="nil"/>
            </w:tcBorders>
          </w:tcPr>
          <w:p w14:paraId="1D6777C2" w14:textId="77777777" w:rsidR="00C74A70" w:rsidRPr="004C2330" w:rsidRDefault="00C74A70" w:rsidP="004C2330">
            <w:pPr>
              <w:spacing w:after="160"/>
              <w:rPr>
                <w:rFonts w:ascii="Arial" w:hAnsi="Arial" w:cs="Arial"/>
                <w:sz w:val="20"/>
                <w:szCs w:val="20"/>
              </w:rPr>
            </w:pPr>
          </w:p>
        </w:tc>
        <w:tc>
          <w:tcPr>
            <w:tcW w:w="802" w:type="dxa"/>
            <w:tcBorders>
              <w:top w:val="nil"/>
              <w:left w:val="nil"/>
              <w:bottom w:val="nil"/>
              <w:right w:val="nil"/>
            </w:tcBorders>
          </w:tcPr>
          <w:p w14:paraId="2569FD35" w14:textId="77777777" w:rsidR="00C74A70" w:rsidRPr="004C2330" w:rsidRDefault="004C2330" w:rsidP="004C2330">
            <w:pPr>
              <w:spacing w:after="0"/>
              <w:jc w:val="center"/>
              <w:rPr>
                <w:rFonts w:ascii="Arial" w:hAnsi="Arial" w:cs="Arial"/>
                <w:sz w:val="20"/>
                <w:szCs w:val="20"/>
              </w:rPr>
            </w:pPr>
            <w:r w:rsidRPr="004C2330">
              <w:rPr>
                <w:rFonts w:ascii="Arial" w:eastAsia="Segoe UI Symbol" w:hAnsi="Arial" w:cs="Arial"/>
                <w:sz w:val="20"/>
                <w:szCs w:val="20"/>
              </w:rPr>
              <w:t></w:t>
            </w:r>
          </w:p>
        </w:tc>
        <w:tc>
          <w:tcPr>
            <w:tcW w:w="6406" w:type="dxa"/>
            <w:tcBorders>
              <w:top w:val="nil"/>
              <w:left w:val="nil"/>
              <w:bottom w:val="nil"/>
              <w:right w:val="nil"/>
            </w:tcBorders>
          </w:tcPr>
          <w:p w14:paraId="6E23A8C7" w14:textId="77777777" w:rsidR="00C74A70" w:rsidRPr="004C2330" w:rsidRDefault="004C2330" w:rsidP="004C2330">
            <w:pPr>
              <w:spacing w:after="0"/>
              <w:ind w:right="2" w:hanging="19"/>
              <w:jc w:val="both"/>
              <w:rPr>
                <w:rFonts w:ascii="Arial" w:hAnsi="Arial" w:cs="Arial"/>
                <w:sz w:val="20"/>
                <w:szCs w:val="20"/>
              </w:rPr>
            </w:pPr>
            <w:r w:rsidRPr="004C2330">
              <w:rPr>
                <w:rFonts w:ascii="Arial" w:hAnsi="Arial" w:cs="Arial"/>
                <w:sz w:val="20"/>
                <w:szCs w:val="20"/>
              </w:rPr>
              <w:t>Securities valuations include validation of market prices against vendors on the various listed securities and OTC products such as options, variance swap and CDS. Also include stale price report check, flagging out of suspended/halted securities, performing P/L market value checks.</w:t>
            </w:r>
          </w:p>
        </w:tc>
      </w:tr>
      <w:tr w:rsidR="00C74A70" w:rsidRPr="004C2330" w14:paraId="5BFBE85E" w14:textId="77777777" w:rsidTr="004C2330">
        <w:trPr>
          <w:trHeight w:val="778"/>
        </w:trPr>
        <w:tc>
          <w:tcPr>
            <w:tcW w:w="2610" w:type="dxa"/>
            <w:tcBorders>
              <w:top w:val="nil"/>
              <w:left w:val="nil"/>
              <w:bottom w:val="nil"/>
              <w:right w:val="nil"/>
            </w:tcBorders>
          </w:tcPr>
          <w:p w14:paraId="7632364D" w14:textId="77777777" w:rsidR="00C74A70" w:rsidRPr="004C2330" w:rsidRDefault="00C74A70" w:rsidP="004C2330">
            <w:pPr>
              <w:spacing w:after="160"/>
              <w:rPr>
                <w:rFonts w:ascii="Arial" w:hAnsi="Arial" w:cs="Arial"/>
                <w:sz w:val="20"/>
                <w:szCs w:val="20"/>
              </w:rPr>
            </w:pPr>
          </w:p>
        </w:tc>
        <w:tc>
          <w:tcPr>
            <w:tcW w:w="802" w:type="dxa"/>
            <w:tcBorders>
              <w:top w:val="nil"/>
              <w:left w:val="nil"/>
              <w:bottom w:val="nil"/>
              <w:right w:val="nil"/>
            </w:tcBorders>
          </w:tcPr>
          <w:p w14:paraId="7F5A1151" w14:textId="77777777" w:rsidR="00C74A70" w:rsidRPr="004C2330" w:rsidRDefault="004C2330" w:rsidP="004C2330">
            <w:pPr>
              <w:spacing w:after="0"/>
              <w:jc w:val="center"/>
              <w:rPr>
                <w:rFonts w:ascii="Arial" w:hAnsi="Arial" w:cs="Arial"/>
                <w:sz w:val="20"/>
                <w:szCs w:val="20"/>
              </w:rPr>
            </w:pPr>
            <w:r w:rsidRPr="004C2330">
              <w:rPr>
                <w:rFonts w:ascii="Arial" w:eastAsia="Segoe UI Symbol" w:hAnsi="Arial" w:cs="Arial"/>
                <w:sz w:val="20"/>
                <w:szCs w:val="20"/>
              </w:rPr>
              <w:t></w:t>
            </w:r>
          </w:p>
        </w:tc>
        <w:tc>
          <w:tcPr>
            <w:tcW w:w="6406" w:type="dxa"/>
            <w:tcBorders>
              <w:top w:val="nil"/>
              <w:left w:val="nil"/>
              <w:bottom w:val="nil"/>
              <w:right w:val="nil"/>
            </w:tcBorders>
          </w:tcPr>
          <w:p w14:paraId="3D575F9D" w14:textId="77777777" w:rsidR="00C74A70" w:rsidRPr="004C2330" w:rsidRDefault="004C2330" w:rsidP="004C2330">
            <w:pPr>
              <w:spacing w:after="0"/>
              <w:ind w:right="4" w:hanging="19"/>
              <w:jc w:val="both"/>
              <w:rPr>
                <w:rFonts w:ascii="Arial" w:hAnsi="Arial" w:cs="Arial"/>
                <w:sz w:val="20"/>
                <w:szCs w:val="20"/>
              </w:rPr>
            </w:pPr>
            <w:r w:rsidRPr="004C2330">
              <w:rPr>
                <w:rFonts w:ascii="Arial" w:hAnsi="Arial" w:cs="Arial"/>
                <w:sz w:val="20"/>
                <w:szCs w:val="20"/>
              </w:rPr>
              <w:t xml:space="preserve">Ensuring capital transactions are booked correctly and P&amp;L is allocated correctly at fund, class and investor level. Process payment of fund expense through in-house system and booking of fund income/fee accruals. Calculation and validation of management fees, </w:t>
            </w:r>
            <w:proofErr w:type="spellStart"/>
            <w:r w:rsidRPr="004C2330">
              <w:rPr>
                <w:rFonts w:ascii="Arial" w:hAnsi="Arial" w:cs="Arial"/>
                <w:sz w:val="20"/>
                <w:szCs w:val="20"/>
              </w:rPr>
              <w:t>highwatermark</w:t>
            </w:r>
            <w:proofErr w:type="spellEnd"/>
            <w:r w:rsidRPr="004C2330">
              <w:rPr>
                <w:rFonts w:ascii="Arial" w:hAnsi="Arial" w:cs="Arial"/>
                <w:sz w:val="20"/>
                <w:szCs w:val="20"/>
              </w:rPr>
              <w:t xml:space="preserve">, performances fees, equalisation and forced </w:t>
            </w:r>
            <w:proofErr w:type="gramStart"/>
            <w:r w:rsidRPr="004C2330">
              <w:rPr>
                <w:rFonts w:ascii="Arial" w:hAnsi="Arial" w:cs="Arial"/>
                <w:sz w:val="20"/>
                <w:szCs w:val="20"/>
              </w:rPr>
              <w:t>redemption .</w:t>
            </w:r>
            <w:proofErr w:type="gramEnd"/>
          </w:p>
        </w:tc>
      </w:tr>
      <w:tr w:rsidR="00C74A70" w:rsidRPr="004C2330" w14:paraId="0B5AF2B7" w14:textId="77777777" w:rsidTr="004C2330">
        <w:trPr>
          <w:trHeight w:val="389"/>
        </w:trPr>
        <w:tc>
          <w:tcPr>
            <w:tcW w:w="2610" w:type="dxa"/>
            <w:tcBorders>
              <w:top w:val="nil"/>
              <w:left w:val="nil"/>
              <w:bottom w:val="nil"/>
              <w:right w:val="nil"/>
            </w:tcBorders>
          </w:tcPr>
          <w:p w14:paraId="6A0E5249" w14:textId="77777777" w:rsidR="00C74A70" w:rsidRPr="004C2330" w:rsidRDefault="00C74A70" w:rsidP="004C2330">
            <w:pPr>
              <w:spacing w:after="160"/>
              <w:rPr>
                <w:rFonts w:ascii="Arial" w:hAnsi="Arial" w:cs="Arial"/>
                <w:sz w:val="20"/>
                <w:szCs w:val="20"/>
              </w:rPr>
            </w:pPr>
          </w:p>
        </w:tc>
        <w:tc>
          <w:tcPr>
            <w:tcW w:w="802" w:type="dxa"/>
            <w:tcBorders>
              <w:top w:val="nil"/>
              <w:left w:val="nil"/>
              <w:bottom w:val="nil"/>
              <w:right w:val="nil"/>
            </w:tcBorders>
          </w:tcPr>
          <w:p w14:paraId="4277A930" w14:textId="77777777" w:rsidR="00C74A70" w:rsidRPr="004C2330" w:rsidRDefault="004C2330" w:rsidP="004C2330">
            <w:pPr>
              <w:spacing w:after="0"/>
              <w:jc w:val="center"/>
              <w:rPr>
                <w:rFonts w:ascii="Arial" w:hAnsi="Arial" w:cs="Arial"/>
                <w:sz w:val="20"/>
                <w:szCs w:val="20"/>
              </w:rPr>
            </w:pPr>
            <w:r w:rsidRPr="004C2330">
              <w:rPr>
                <w:rFonts w:ascii="Arial" w:eastAsia="Segoe UI Symbol" w:hAnsi="Arial" w:cs="Arial"/>
                <w:sz w:val="20"/>
                <w:szCs w:val="20"/>
              </w:rPr>
              <w:t></w:t>
            </w:r>
          </w:p>
        </w:tc>
        <w:tc>
          <w:tcPr>
            <w:tcW w:w="6406" w:type="dxa"/>
            <w:tcBorders>
              <w:top w:val="nil"/>
              <w:left w:val="nil"/>
              <w:bottom w:val="nil"/>
              <w:right w:val="nil"/>
            </w:tcBorders>
          </w:tcPr>
          <w:p w14:paraId="03A27B25" w14:textId="77777777" w:rsidR="00C74A70" w:rsidRPr="004C2330" w:rsidRDefault="004C2330" w:rsidP="004C2330">
            <w:pPr>
              <w:spacing w:after="0"/>
              <w:ind w:hanging="19"/>
              <w:jc w:val="both"/>
              <w:rPr>
                <w:rFonts w:ascii="Arial" w:hAnsi="Arial" w:cs="Arial"/>
                <w:sz w:val="20"/>
                <w:szCs w:val="20"/>
              </w:rPr>
            </w:pPr>
            <w:r w:rsidRPr="004C2330">
              <w:rPr>
                <w:rFonts w:ascii="Arial" w:hAnsi="Arial" w:cs="Arial"/>
                <w:sz w:val="20"/>
                <w:szCs w:val="20"/>
              </w:rPr>
              <w:t>Generating associated daily reports for major hedge funds while meeting tight deadlines and fund’s requirements.</w:t>
            </w:r>
          </w:p>
        </w:tc>
      </w:tr>
      <w:tr w:rsidR="00C74A70" w:rsidRPr="004C2330" w14:paraId="5E5FF02B" w14:textId="77777777" w:rsidTr="004C2330">
        <w:trPr>
          <w:trHeight w:val="195"/>
        </w:trPr>
        <w:tc>
          <w:tcPr>
            <w:tcW w:w="2610" w:type="dxa"/>
            <w:tcBorders>
              <w:top w:val="nil"/>
              <w:left w:val="nil"/>
              <w:bottom w:val="nil"/>
              <w:right w:val="nil"/>
            </w:tcBorders>
          </w:tcPr>
          <w:p w14:paraId="3B1E19C4" w14:textId="77777777" w:rsidR="00C74A70" w:rsidRPr="004C2330" w:rsidRDefault="00C74A70" w:rsidP="004C2330">
            <w:pPr>
              <w:spacing w:after="160"/>
              <w:rPr>
                <w:rFonts w:ascii="Arial" w:hAnsi="Arial" w:cs="Arial"/>
                <w:sz w:val="20"/>
                <w:szCs w:val="20"/>
              </w:rPr>
            </w:pPr>
          </w:p>
        </w:tc>
        <w:tc>
          <w:tcPr>
            <w:tcW w:w="802" w:type="dxa"/>
            <w:tcBorders>
              <w:top w:val="nil"/>
              <w:left w:val="nil"/>
              <w:bottom w:val="nil"/>
              <w:right w:val="nil"/>
            </w:tcBorders>
          </w:tcPr>
          <w:p w14:paraId="0CCF5264" w14:textId="77777777" w:rsidR="00C74A70" w:rsidRPr="004C2330" w:rsidRDefault="004C2330" w:rsidP="004C2330">
            <w:pPr>
              <w:spacing w:after="0"/>
              <w:jc w:val="center"/>
              <w:rPr>
                <w:rFonts w:ascii="Arial" w:hAnsi="Arial" w:cs="Arial"/>
                <w:sz w:val="20"/>
                <w:szCs w:val="20"/>
              </w:rPr>
            </w:pPr>
            <w:r w:rsidRPr="004C2330">
              <w:rPr>
                <w:rFonts w:ascii="Arial" w:eastAsia="Segoe UI Symbol" w:hAnsi="Arial" w:cs="Arial"/>
                <w:sz w:val="20"/>
                <w:szCs w:val="20"/>
              </w:rPr>
              <w:t></w:t>
            </w:r>
          </w:p>
        </w:tc>
        <w:tc>
          <w:tcPr>
            <w:tcW w:w="6406" w:type="dxa"/>
            <w:tcBorders>
              <w:top w:val="nil"/>
              <w:left w:val="nil"/>
              <w:bottom w:val="nil"/>
              <w:right w:val="nil"/>
            </w:tcBorders>
          </w:tcPr>
          <w:p w14:paraId="0898862C" w14:textId="77777777" w:rsidR="00C74A70" w:rsidRPr="004C2330" w:rsidRDefault="004C2330" w:rsidP="004C2330">
            <w:pPr>
              <w:spacing w:after="0"/>
              <w:rPr>
                <w:rFonts w:ascii="Arial" w:hAnsi="Arial" w:cs="Arial"/>
                <w:sz w:val="20"/>
                <w:szCs w:val="20"/>
              </w:rPr>
            </w:pPr>
            <w:r w:rsidRPr="004C2330">
              <w:rPr>
                <w:rFonts w:ascii="Arial" w:hAnsi="Arial" w:cs="Arial"/>
                <w:sz w:val="20"/>
                <w:szCs w:val="20"/>
              </w:rPr>
              <w:t xml:space="preserve">Handled funds with master feeder fund structure with </w:t>
            </w:r>
            <w:proofErr w:type="spellStart"/>
            <w:r w:rsidRPr="004C2330">
              <w:rPr>
                <w:rFonts w:ascii="Arial" w:hAnsi="Arial" w:cs="Arial"/>
                <w:sz w:val="20"/>
                <w:szCs w:val="20"/>
              </w:rPr>
              <w:t>mutli</w:t>
            </w:r>
            <w:proofErr w:type="spellEnd"/>
            <w:r w:rsidRPr="004C2330">
              <w:rPr>
                <w:rFonts w:ascii="Arial" w:hAnsi="Arial" w:cs="Arial"/>
                <w:sz w:val="20"/>
                <w:szCs w:val="20"/>
              </w:rPr>
              <w:t xml:space="preserve"> line hedging share classes.</w:t>
            </w:r>
          </w:p>
        </w:tc>
      </w:tr>
      <w:tr w:rsidR="00C74A70" w:rsidRPr="004C2330" w14:paraId="0DE52048" w14:textId="77777777" w:rsidTr="004C2330">
        <w:trPr>
          <w:trHeight w:val="388"/>
        </w:trPr>
        <w:tc>
          <w:tcPr>
            <w:tcW w:w="2610" w:type="dxa"/>
            <w:tcBorders>
              <w:top w:val="nil"/>
              <w:left w:val="nil"/>
              <w:bottom w:val="nil"/>
              <w:right w:val="nil"/>
            </w:tcBorders>
          </w:tcPr>
          <w:p w14:paraId="218D8594" w14:textId="77777777" w:rsidR="00C74A70" w:rsidRPr="004C2330" w:rsidRDefault="00C74A70" w:rsidP="004C2330">
            <w:pPr>
              <w:spacing w:after="160"/>
              <w:rPr>
                <w:rFonts w:ascii="Arial" w:hAnsi="Arial" w:cs="Arial"/>
                <w:sz w:val="20"/>
                <w:szCs w:val="20"/>
              </w:rPr>
            </w:pPr>
          </w:p>
        </w:tc>
        <w:tc>
          <w:tcPr>
            <w:tcW w:w="802" w:type="dxa"/>
            <w:tcBorders>
              <w:top w:val="nil"/>
              <w:left w:val="nil"/>
              <w:bottom w:val="nil"/>
              <w:right w:val="nil"/>
            </w:tcBorders>
          </w:tcPr>
          <w:p w14:paraId="4D4A3E14" w14:textId="77777777" w:rsidR="00C74A70" w:rsidRPr="004C2330" w:rsidRDefault="004C2330" w:rsidP="004C2330">
            <w:pPr>
              <w:spacing w:after="0"/>
              <w:jc w:val="center"/>
              <w:rPr>
                <w:rFonts w:ascii="Arial" w:hAnsi="Arial" w:cs="Arial"/>
                <w:sz w:val="20"/>
                <w:szCs w:val="20"/>
              </w:rPr>
            </w:pPr>
            <w:r w:rsidRPr="004C2330">
              <w:rPr>
                <w:rFonts w:ascii="Arial" w:eastAsia="Segoe UI Symbol" w:hAnsi="Arial" w:cs="Arial"/>
                <w:sz w:val="20"/>
                <w:szCs w:val="20"/>
              </w:rPr>
              <w:t></w:t>
            </w:r>
          </w:p>
        </w:tc>
        <w:tc>
          <w:tcPr>
            <w:tcW w:w="6406" w:type="dxa"/>
            <w:tcBorders>
              <w:top w:val="nil"/>
              <w:left w:val="nil"/>
              <w:bottom w:val="nil"/>
              <w:right w:val="nil"/>
            </w:tcBorders>
          </w:tcPr>
          <w:p w14:paraId="343C71C3" w14:textId="77777777" w:rsidR="00C74A70" w:rsidRPr="004C2330" w:rsidRDefault="004C2330" w:rsidP="004C2330">
            <w:pPr>
              <w:spacing w:after="0"/>
              <w:ind w:hanging="19"/>
              <w:jc w:val="both"/>
              <w:rPr>
                <w:rFonts w:ascii="Arial" w:hAnsi="Arial" w:cs="Arial"/>
                <w:sz w:val="20"/>
                <w:szCs w:val="20"/>
              </w:rPr>
            </w:pPr>
            <w:r w:rsidRPr="004C2330">
              <w:rPr>
                <w:rFonts w:ascii="Arial" w:hAnsi="Arial" w:cs="Arial"/>
                <w:sz w:val="20"/>
                <w:szCs w:val="20"/>
              </w:rPr>
              <w:t>Perform daily and month end reconciliation of cash, trade and positions using in-house reconciler / excel spread sheet, supported by client’s blotters and broker statements.</w:t>
            </w:r>
          </w:p>
        </w:tc>
      </w:tr>
      <w:tr w:rsidR="00C74A70" w:rsidRPr="004C2330" w14:paraId="79E8E8B4" w14:textId="77777777" w:rsidTr="004C2330">
        <w:trPr>
          <w:trHeight w:val="389"/>
        </w:trPr>
        <w:tc>
          <w:tcPr>
            <w:tcW w:w="2610" w:type="dxa"/>
            <w:tcBorders>
              <w:top w:val="nil"/>
              <w:left w:val="nil"/>
              <w:bottom w:val="nil"/>
              <w:right w:val="nil"/>
            </w:tcBorders>
          </w:tcPr>
          <w:p w14:paraId="2A1426DA" w14:textId="77777777" w:rsidR="00C74A70" w:rsidRPr="004C2330" w:rsidRDefault="00C74A70" w:rsidP="004C2330">
            <w:pPr>
              <w:spacing w:after="160"/>
              <w:rPr>
                <w:rFonts w:ascii="Arial" w:hAnsi="Arial" w:cs="Arial"/>
                <w:sz w:val="20"/>
                <w:szCs w:val="20"/>
              </w:rPr>
            </w:pPr>
          </w:p>
        </w:tc>
        <w:tc>
          <w:tcPr>
            <w:tcW w:w="802" w:type="dxa"/>
            <w:tcBorders>
              <w:top w:val="nil"/>
              <w:left w:val="nil"/>
              <w:bottom w:val="nil"/>
              <w:right w:val="nil"/>
            </w:tcBorders>
          </w:tcPr>
          <w:p w14:paraId="6223319D" w14:textId="77777777" w:rsidR="00C74A70" w:rsidRPr="004C2330" w:rsidRDefault="004C2330" w:rsidP="004C2330">
            <w:pPr>
              <w:spacing w:after="0"/>
              <w:jc w:val="center"/>
              <w:rPr>
                <w:rFonts w:ascii="Arial" w:hAnsi="Arial" w:cs="Arial"/>
                <w:sz w:val="20"/>
                <w:szCs w:val="20"/>
              </w:rPr>
            </w:pPr>
            <w:r w:rsidRPr="004C2330">
              <w:rPr>
                <w:rFonts w:ascii="Arial" w:eastAsia="Segoe UI Symbol" w:hAnsi="Arial" w:cs="Arial"/>
                <w:sz w:val="20"/>
                <w:szCs w:val="20"/>
              </w:rPr>
              <w:t></w:t>
            </w:r>
          </w:p>
        </w:tc>
        <w:tc>
          <w:tcPr>
            <w:tcW w:w="6406" w:type="dxa"/>
            <w:tcBorders>
              <w:top w:val="nil"/>
              <w:left w:val="nil"/>
              <w:bottom w:val="nil"/>
              <w:right w:val="nil"/>
            </w:tcBorders>
          </w:tcPr>
          <w:p w14:paraId="7B334B9E" w14:textId="77777777" w:rsidR="00C74A70" w:rsidRPr="004C2330" w:rsidRDefault="004C2330" w:rsidP="004C2330">
            <w:pPr>
              <w:spacing w:after="0"/>
              <w:ind w:hanging="19"/>
              <w:jc w:val="both"/>
              <w:rPr>
                <w:rFonts w:ascii="Arial" w:hAnsi="Arial" w:cs="Arial"/>
                <w:sz w:val="20"/>
                <w:szCs w:val="20"/>
              </w:rPr>
            </w:pPr>
            <w:r w:rsidRPr="004C2330">
              <w:rPr>
                <w:rFonts w:ascii="Arial" w:hAnsi="Arial" w:cs="Arial"/>
                <w:sz w:val="20"/>
                <w:szCs w:val="20"/>
              </w:rPr>
              <w:t>Reconcile dividends and equity swaps/collateral and any interests related on monthly basis.</w:t>
            </w:r>
          </w:p>
        </w:tc>
      </w:tr>
      <w:tr w:rsidR="00C74A70" w:rsidRPr="004C2330" w14:paraId="47D94933" w14:textId="77777777" w:rsidTr="004C2330">
        <w:trPr>
          <w:trHeight w:val="389"/>
        </w:trPr>
        <w:tc>
          <w:tcPr>
            <w:tcW w:w="2610" w:type="dxa"/>
            <w:tcBorders>
              <w:top w:val="nil"/>
              <w:left w:val="nil"/>
              <w:bottom w:val="nil"/>
              <w:right w:val="nil"/>
            </w:tcBorders>
          </w:tcPr>
          <w:p w14:paraId="7734286A" w14:textId="77777777" w:rsidR="00C74A70" w:rsidRPr="004C2330" w:rsidRDefault="00C74A70" w:rsidP="004C2330">
            <w:pPr>
              <w:spacing w:after="160"/>
              <w:rPr>
                <w:rFonts w:ascii="Arial" w:hAnsi="Arial" w:cs="Arial"/>
                <w:sz w:val="20"/>
                <w:szCs w:val="20"/>
              </w:rPr>
            </w:pPr>
          </w:p>
        </w:tc>
        <w:tc>
          <w:tcPr>
            <w:tcW w:w="802" w:type="dxa"/>
            <w:tcBorders>
              <w:top w:val="nil"/>
              <w:left w:val="nil"/>
              <w:bottom w:val="nil"/>
              <w:right w:val="nil"/>
            </w:tcBorders>
          </w:tcPr>
          <w:p w14:paraId="26FF616C" w14:textId="77777777" w:rsidR="00C74A70" w:rsidRPr="004C2330" w:rsidRDefault="004C2330" w:rsidP="004C2330">
            <w:pPr>
              <w:spacing w:after="0"/>
              <w:jc w:val="center"/>
              <w:rPr>
                <w:rFonts w:ascii="Arial" w:hAnsi="Arial" w:cs="Arial"/>
                <w:sz w:val="20"/>
                <w:szCs w:val="20"/>
              </w:rPr>
            </w:pPr>
            <w:r w:rsidRPr="004C2330">
              <w:rPr>
                <w:rFonts w:ascii="Arial" w:eastAsia="Segoe UI Symbol" w:hAnsi="Arial" w:cs="Arial"/>
                <w:sz w:val="20"/>
                <w:szCs w:val="20"/>
              </w:rPr>
              <w:t></w:t>
            </w:r>
          </w:p>
        </w:tc>
        <w:tc>
          <w:tcPr>
            <w:tcW w:w="6406" w:type="dxa"/>
            <w:tcBorders>
              <w:top w:val="nil"/>
              <w:left w:val="nil"/>
              <w:bottom w:val="nil"/>
              <w:right w:val="nil"/>
            </w:tcBorders>
          </w:tcPr>
          <w:p w14:paraId="2E4929E7" w14:textId="77777777" w:rsidR="00C74A70" w:rsidRPr="004C2330" w:rsidRDefault="004C2330" w:rsidP="004C2330">
            <w:pPr>
              <w:spacing w:after="0"/>
              <w:ind w:hanging="19"/>
              <w:jc w:val="both"/>
              <w:rPr>
                <w:rFonts w:ascii="Arial" w:hAnsi="Arial" w:cs="Arial"/>
                <w:sz w:val="20"/>
                <w:szCs w:val="20"/>
              </w:rPr>
            </w:pPr>
            <w:r w:rsidRPr="004C2330">
              <w:rPr>
                <w:rFonts w:ascii="Arial" w:hAnsi="Arial" w:cs="Arial"/>
                <w:sz w:val="20"/>
                <w:szCs w:val="20"/>
              </w:rPr>
              <w:t>Resolve day to day trade and cash discrepancies with investment managers, brokerages and headquarter in Dublin.</w:t>
            </w:r>
          </w:p>
        </w:tc>
      </w:tr>
      <w:tr w:rsidR="00C74A70" w:rsidRPr="004C2330" w14:paraId="245F83C6" w14:textId="77777777" w:rsidTr="004C2330">
        <w:trPr>
          <w:trHeight w:val="351"/>
        </w:trPr>
        <w:tc>
          <w:tcPr>
            <w:tcW w:w="2610" w:type="dxa"/>
            <w:tcBorders>
              <w:top w:val="nil"/>
              <w:left w:val="nil"/>
              <w:bottom w:val="nil"/>
              <w:right w:val="nil"/>
            </w:tcBorders>
          </w:tcPr>
          <w:p w14:paraId="75DA11E6" w14:textId="77777777" w:rsidR="00C74A70" w:rsidRPr="004C2330" w:rsidRDefault="00C74A70" w:rsidP="004C2330">
            <w:pPr>
              <w:spacing w:after="160"/>
              <w:rPr>
                <w:rFonts w:ascii="Arial" w:hAnsi="Arial" w:cs="Arial"/>
                <w:sz w:val="20"/>
                <w:szCs w:val="20"/>
              </w:rPr>
            </w:pPr>
          </w:p>
        </w:tc>
        <w:tc>
          <w:tcPr>
            <w:tcW w:w="802" w:type="dxa"/>
            <w:tcBorders>
              <w:top w:val="nil"/>
              <w:left w:val="nil"/>
              <w:bottom w:val="nil"/>
              <w:right w:val="nil"/>
            </w:tcBorders>
          </w:tcPr>
          <w:p w14:paraId="49EDA5BB" w14:textId="77777777" w:rsidR="00C74A70" w:rsidRPr="004C2330" w:rsidRDefault="004C2330" w:rsidP="004C2330">
            <w:pPr>
              <w:spacing w:after="0"/>
              <w:jc w:val="center"/>
              <w:rPr>
                <w:rFonts w:ascii="Arial" w:hAnsi="Arial" w:cs="Arial"/>
                <w:sz w:val="20"/>
                <w:szCs w:val="20"/>
              </w:rPr>
            </w:pPr>
            <w:r w:rsidRPr="004C2330">
              <w:rPr>
                <w:rFonts w:ascii="Arial" w:eastAsia="Segoe UI Symbol" w:hAnsi="Arial" w:cs="Arial"/>
                <w:sz w:val="20"/>
                <w:szCs w:val="20"/>
              </w:rPr>
              <w:t></w:t>
            </w:r>
          </w:p>
        </w:tc>
        <w:tc>
          <w:tcPr>
            <w:tcW w:w="6406" w:type="dxa"/>
            <w:tcBorders>
              <w:top w:val="nil"/>
              <w:left w:val="nil"/>
              <w:bottom w:val="nil"/>
              <w:right w:val="nil"/>
            </w:tcBorders>
          </w:tcPr>
          <w:p w14:paraId="3CFBD678" w14:textId="77777777" w:rsidR="00C74A70" w:rsidRPr="004C2330" w:rsidRDefault="004C2330" w:rsidP="004C2330">
            <w:pPr>
              <w:spacing w:after="0"/>
              <w:rPr>
                <w:rFonts w:ascii="Arial" w:hAnsi="Arial" w:cs="Arial"/>
                <w:sz w:val="20"/>
                <w:szCs w:val="20"/>
              </w:rPr>
            </w:pPr>
            <w:r w:rsidRPr="004C2330">
              <w:rPr>
                <w:rFonts w:ascii="Arial" w:hAnsi="Arial" w:cs="Arial"/>
                <w:sz w:val="20"/>
                <w:szCs w:val="20"/>
              </w:rPr>
              <w:t>Coaching juniors in understanding calculation of NAV process and firm’s operations.</w:t>
            </w:r>
          </w:p>
        </w:tc>
      </w:tr>
    </w:tbl>
    <w:p w14:paraId="36258085" w14:textId="46BE947D" w:rsidR="00C74A70" w:rsidRPr="004C2330" w:rsidRDefault="004C2330" w:rsidP="004C2330">
      <w:pPr>
        <w:spacing w:after="0"/>
        <w:rPr>
          <w:rFonts w:ascii="Arial" w:hAnsi="Arial" w:cs="Arial"/>
          <w:sz w:val="20"/>
          <w:szCs w:val="20"/>
        </w:rPr>
      </w:pPr>
      <w:r w:rsidRPr="004C2330">
        <w:rPr>
          <w:rFonts w:ascii="Arial" w:hAnsi="Arial" w:cs="Arial"/>
          <w:sz w:val="20"/>
          <w:szCs w:val="20"/>
        </w:rPr>
        <w:br w:type="page"/>
      </w:r>
    </w:p>
    <w:tbl>
      <w:tblPr>
        <w:tblStyle w:val="TableGrid"/>
        <w:tblpPr w:vertAnchor="text" w:tblpX="108"/>
        <w:tblOverlap w:val="never"/>
        <w:tblW w:w="9270" w:type="dxa"/>
        <w:tblInd w:w="0" w:type="dxa"/>
        <w:tblLook w:val="04A0" w:firstRow="1" w:lastRow="0" w:firstColumn="1" w:lastColumn="0" w:noHBand="0" w:noVBand="1"/>
      </w:tblPr>
      <w:tblGrid>
        <w:gridCol w:w="1890"/>
        <w:gridCol w:w="7380"/>
      </w:tblGrid>
      <w:tr w:rsidR="00C74A70" w:rsidRPr="004C2330" w14:paraId="45D2C48D" w14:textId="77777777" w:rsidTr="004C2330">
        <w:trPr>
          <w:trHeight w:val="2270"/>
        </w:trPr>
        <w:tc>
          <w:tcPr>
            <w:tcW w:w="1890" w:type="dxa"/>
            <w:tcBorders>
              <w:top w:val="nil"/>
              <w:left w:val="nil"/>
              <w:bottom w:val="nil"/>
              <w:right w:val="nil"/>
            </w:tcBorders>
          </w:tcPr>
          <w:p w14:paraId="57C04096" w14:textId="77777777" w:rsidR="00C74A70" w:rsidRPr="004C2330" w:rsidRDefault="004C2330" w:rsidP="004C2330">
            <w:pPr>
              <w:spacing w:after="0"/>
              <w:rPr>
                <w:rFonts w:ascii="Arial" w:hAnsi="Arial" w:cs="Arial"/>
                <w:sz w:val="20"/>
                <w:szCs w:val="20"/>
              </w:rPr>
            </w:pPr>
            <w:r w:rsidRPr="004C2330">
              <w:rPr>
                <w:rFonts w:ascii="Arial" w:hAnsi="Arial" w:cs="Arial"/>
                <w:sz w:val="20"/>
                <w:szCs w:val="20"/>
              </w:rPr>
              <w:lastRenderedPageBreak/>
              <w:t>Oct 2013 to Dec 2013</w:t>
            </w:r>
          </w:p>
        </w:tc>
        <w:tc>
          <w:tcPr>
            <w:tcW w:w="7380" w:type="dxa"/>
            <w:tcBorders>
              <w:top w:val="nil"/>
              <w:left w:val="nil"/>
              <w:bottom w:val="nil"/>
              <w:right w:val="nil"/>
            </w:tcBorders>
          </w:tcPr>
          <w:p w14:paraId="057AA545" w14:textId="77777777" w:rsidR="00C74A70" w:rsidRPr="004C2330" w:rsidRDefault="004C2330" w:rsidP="004C2330">
            <w:pPr>
              <w:spacing w:after="4" w:line="243" w:lineRule="auto"/>
              <w:jc w:val="both"/>
              <w:rPr>
                <w:rFonts w:ascii="Arial" w:hAnsi="Arial" w:cs="Arial"/>
                <w:sz w:val="20"/>
                <w:szCs w:val="20"/>
              </w:rPr>
            </w:pPr>
            <w:r w:rsidRPr="004C2330">
              <w:rPr>
                <w:rFonts w:ascii="Arial" w:hAnsi="Arial" w:cs="Arial"/>
                <w:b/>
                <w:sz w:val="20"/>
                <w:szCs w:val="20"/>
              </w:rPr>
              <w:t xml:space="preserve">Part-time Bank Assistant at United Overseas Bank (Singapore), Group Technology and Operation, Business Internet Banking (BIB) </w:t>
            </w:r>
            <w:r w:rsidRPr="004C2330">
              <w:rPr>
                <w:rFonts w:ascii="Arial" w:hAnsi="Arial" w:cs="Arial"/>
                <w:sz w:val="20"/>
                <w:szCs w:val="20"/>
              </w:rPr>
              <w:t>Took on “maker” role. Duties include:</w:t>
            </w:r>
          </w:p>
          <w:p w14:paraId="4D22F553" w14:textId="77777777" w:rsidR="00C74A70" w:rsidRPr="004C2330" w:rsidRDefault="004C2330" w:rsidP="004C2330">
            <w:pPr>
              <w:numPr>
                <w:ilvl w:val="0"/>
                <w:numId w:val="2"/>
              </w:numPr>
              <w:spacing w:after="0" w:line="245" w:lineRule="auto"/>
              <w:ind w:left="0" w:hanging="341"/>
              <w:jc w:val="both"/>
              <w:rPr>
                <w:rFonts w:ascii="Arial" w:hAnsi="Arial" w:cs="Arial"/>
                <w:sz w:val="20"/>
                <w:szCs w:val="20"/>
              </w:rPr>
            </w:pPr>
            <w:r w:rsidRPr="004C2330">
              <w:rPr>
                <w:rFonts w:ascii="Arial" w:hAnsi="Arial" w:cs="Arial"/>
                <w:sz w:val="20"/>
                <w:szCs w:val="20"/>
              </w:rPr>
              <w:t>Assist to process daily influx of BIB account opening [</w:t>
            </w:r>
            <w:r w:rsidRPr="004C2330">
              <w:rPr>
                <w:rFonts w:ascii="Arial" w:hAnsi="Arial" w:cs="Arial"/>
                <w:sz w:val="20"/>
                <w:szCs w:val="20"/>
                <w:u w:val="single" w:color="000000"/>
              </w:rPr>
              <w:t>Application Section</w:t>
            </w:r>
            <w:r w:rsidRPr="004C2330">
              <w:rPr>
                <w:rFonts w:ascii="Arial" w:hAnsi="Arial" w:cs="Arial"/>
                <w:sz w:val="20"/>
                <w:szCs w:val="20"/>
              </w:rPr>
              <w:t>] through bank intranet system. Processes include entering company details, appointed administrators &amp; signatories, product package (Basic/Professional) and bank accounts.</w:t>
            </w:r>
          </w:p>
          <w:p w14:paraId="512A3FE7" w14:textId="77777777" w:rsidR="00C74A70" w:rsidRPr="004C2330" w:rsidRDefault="004C2330" w:rsidP="004C2330">
            <w:pPr>
              <w:numPr>
                <w:ilvl w:val="0"/>
                <w:numId w:val="2"/>
              </w:numPr>
              <w:spacing w:after="0" w:line="245" w:lineRule="auto"/>
              <w:ind w:left="0" w:hanging="341"/>
              <w:jc w:val="both"/>
              <w:rPr>
                <w:rFonts w:ascii="Arial" w:hAnsi="Arial" w:cs="Arial"/>
                <w:sz w:val="20"/>
                <w:szCs w:val="20"/>
              </w:rPr>
            </w:pPr>
            <w:r w:rsidRPr="004C2330">
              <w:rPr>
                <w:rFonts w:ascii="Arial" w:hAnsi="Arial" w:cs="Arial"/>
                <w:sz w:val="20"/>
                <w:szCs w:val="20"/>
              </w:rPr>
              <w:t>Access Bank Wide Customer Information Facility (BWCIF) for extracting/verifying client’s personal details.</w:t>
            </w:r>
          </w:p>
          <w:p w14:paraId="5CE25716" w14:textId="77777777" w:rsidR="00C74A70" w:rsidRPr="004C2330" w:rsidRDefault="004C2330" w:rsidP="004C2330">
            <w:pPr>
              <w:numPr>
                <w:ilvl w:val="0"/>
                <w:numId w:val="2"/>
              </w:numPr>
              <w:spacing w:after="0"/>
              <w:ind w:left="0" w:hanging="341"/>
              <w:jc w:val="both"/>
              <w:rPr>
                <w:rFonts w:ascii="Arial" w:hAnsi="Arial" w:cs="Arial"/>
                <w:sz w:val="20"/>
                <w:szCs w:val="20"/>
              </w:rPr>
            </w:pPr>
            <w:r w:rsidRPr="004C2330">
              <w:rPr>
                <w:rFonts w:ascii="Arial" w:hAnsi="Arial" w:cs="Arial"/>
                <w:sz w:val="20"/>
                <w:szCs w:val="20"/>
              </w:rPr>
              <w:t>Creation of Remittance (ROS) and Inter-Bank Giro (IBG) for electronic bulk services.</w:t>
            </w:r>
          </w:p>
          <w:p w14:paraId="7233BC7C" w14:textId="77777777" w:rsidR="00C74A70" w:rsidRPr="004C2330" w:rsidRDefault="004C2330" w:rsidP="004C2330">
            <w:pPr>
              <w:numPr>
                <w:ilvl w:val="0"/>
                <w:numId w:val="2"/>
              </w:numPr>
              <w:spacing w:after="0"/>
              <w:ind w:left="0" w:hanging="341"/>
              <w:jc w:val="both"/>
              <w:rPr>
                <w:rFonts w:ascii="Arial" w:hAnsi="Arial" w:cs="Arial"/>
                <w:sz w:val="20"/>
                <w:szCs w:val="20"/>
              </w:rPr>
            </w:pPr>
            <w:r w:rsidRPr="004C2330">
              <w:rPr>
                <w:rFonts w:ascii="Arial" w:hAnsi="Arial" w:cs="Arial"/>
                <w:sz w:val="20"/>
                <w:szCs w:val="20"/>
              </w:rPr>
              <w:t>Process various customer requests [</w:t>
            </w:r>
            <w:r w:rsidRPr="004C2330">
              <w:rPr>
                <w:rFonts w:ascii="Arial" w:hAnsi="Arial" w:cs="Arial"/>
                <w:sz w:val="20"/>
                <w:szCs w:val="20"/>
                <w:u w:val="single" w:color="000000"/>
              </w:rPr>
              <w:t>Maintenance Section</w:t>
            </w:r>
            <w:r w:rsidRPr="004C2330">
              <w:rPr>
                <w:rFonts w:ascii="Arial" w:hAnsi="Arial" w:cs="Arial"/>
                <w:sz w:val="20"/>
                <w:szCs w:val="20"/>
              </w:rPr>
              <w:t>] such as linking company new bank account, reissuing of password/tokens, creation and termination of user/account.</w:t>
            </w:r>
          </w:p>
        </w:tc>
      </w:tr>
      <w:tr w:rsidR="00C74A70" w:rsidRPr="004C2330" w14:paraId="2BD9A431" w14:textId="77777777" w:rsidTr="004C2330">
        <w:trPr>
          <w:trHeight w:val="617"/>
        </w:trPr>
        <w:tc>
          <w:tcPr>
            <w:tcW w:w="1890" w:type="dxa"/>
            <w:tcBorders>
              <w:top w:val="nil"/>
              <w:left w:val="nil"/>
              <w:bottom w:val="nil"/>
              <w:right w:val="nil"/>
            </w:tcBorders>
          </w:tcPr>
          <w:p w14:paraId="41CB3774" w14:textId="77777777" w:rsidR="00C74A70" w:rsidRPr="004C2330" w:rsidRDefault="004C2330" w:rsidP="004C2330">
            <w:pPr>
              <w:spacing w:after="0"/>
              <w:rPr>
                <w:rFonts w:ascii="Arial" w:hAnsi="Arial" w:cs="Arial"/>
                <w:sz w:val="20"/>
                <w:szCs w:val="20"/>
              </w:rPr>
            </w:pPr>
            <w:r w:rsidRPr="004C2330">
              <w:rPr>
                <w:rFonts w:ascii="Arial" w:hAnsi="Arial" w:cs="Arial"/>
                <w:b/>
                <w:sz w:val="20"/>
                <w:szCs w:val="20"/>
              </w:rPr>
              <w:t>Software Skills</w:t>
            </w:r>
          </w:p>
        </w:tc>
        <w:tc>
          <w:tcPr>
            <w:tcW w:w="7380" w:type="dxa"/>
            <w:tcBorders>
              <w:top w:val="nil"/>
              <w:left w:val="nil"/>
              <w:bottom w:val="nil"/>
              <w:right w:val="nil"/>
            </w:tcBorders>
          </w:tcPr>
          <w:p w14:paraId="2C1B3C00" w14:textId="77777777" w:rsidR="00C74A70" w:rsidRPr="004C2330" w:rsidRDefault="004C2330" w:rsidP="004C2330">
            <w:pPr>
              <w:spacing w:after="0"/>
              <w:jc w:val="both"/>
              <w:rPr>
                <w:rFonts w:ascii="Arial" w:hAnsi="Arial" w:cs="Arial"/>
                <w:sz w:val="20"/>
                <w:szCs w:val="20"/>
              </w:rPr>
            </w:pPr>
            <w:r w:rsidRPr="004C2330">
              <w:rPr>
                <w:rFonts w:ascii="Arial" w:hAnsi="Arial" w:cs="Arial"/>
                <w:sz w:val="20"/>
                <w:szCs w:val="20"/>
              </w:rPr>
              <w:t>Microsoft Outlook, Word, Power Point and Bloomberg. Familiar with Excel with very basic understanding on VBA macro.</w:t>
            </w:r>
          </w:p>
        </w:tc>
      </w:tr>
      <w:tr w:rsidR="00C74A70" w:rsidRPr="004C2330" w14:paraId="36A38C57" w14:textId="77777777" w:rsidTr="004C2330">
        <w:trPr>
          <w:trHeight w:val="419"/>
        </w:trPr>
        <w:tc>
          <w:tcPr>
            <w:tcW w:w="1890" w:type="dxa"/>
            <w:tcBorders>
              <w:top w:val="nil"/>
              <w:left w:val="nil"/>
              <w:bottom w:val="nil"/>
              <w:right w:val="nil"/>
            </w:tcBorders>
          </w:tcPr>
          <w:p w14:paraId="577CBD9F" w14:textId="77777777" w:rsidR="00C74A70" w:rsidRPr="004C2330" w:rsidRDefault="004C2330" w:rsidP="004C2330">
            <w:pPr>
              <w:spacing w:after="0"/>
              <w:rPr>
                <w:rFonts w:ascii="Arial" w:hAnsi="Arial" w:cs="Arial"/>
                <w:sz w:val="20"/>
                <w:szCs w:val="20"/>
              </w:rPr>
            </w:pPr>
            <w:r w:rsidRPr="004C2330">
              <w:rPr>
                <w:rFonts w:ascii="Arial" w:hAnsi="Arial" w:cs="Arial"/>
                <w:b/>
                <w:sz w:val="20"/>
                <w:szCs w:val="20"/>
              </w:rPr>
              <w:t>Languages Proficiency</w:t>
            </w:r>
          </w:p>
        </w:tc>
        <w:tc>
          <w:tcPr>
            <w:tcW w:w="7380" w:type="dxa"/>
            <w:tcBorders>
              <w:top w:val="nil"/>
              <w:left w:val="nil"/>
              <w:bottom w:val="nil"/>
              <w:right w:val="nil"/>
            </w:tcBorders>
          </w:tcPr>
          <w:p w14:paraId="67836416" w14:textId="77777777" w:rsidR="00C74A70" w:rsidRPr="004C2330" w:rsidRDefault="004C2330" w:rsidP="004C2330">
            <w:pPr>
              <w:spacing w:after="0"/>
              <w:rPr>
                <w:rFonts w:ascii="Arial" w:hAnsi="Arial" w:cs="Arial"/>
                <w:sz w:val="20"/>
                <w:szCs w:val="20"/>
              </w:rPr>
            </w:pPr>
            <w:r w:rsidRPr="004C2330">
              <w:rPr>
                <w:rFonts w:ascii="Arial" w:hAnsi="Arial" w:cs="Arial"/>
                <w:sz w:val="20"/>
                <w:szCs w:val="20"/>
              </w:rPr>
              <w:t>English – Fluent, Mandarin – Average</w:t>
            </w:r>
          </w:p>
        </w:tc>
      </w:tr>
      <w:tr w:rsidR="00C74A70" w:rsidRPr="004C2330" w14:paraId="33BD66D8" w14:textId="77777777" w:rsidTr="004C2330">
        <w:trPr>
          <w:trHeight w:val="1224"/>
        </w:trPr>
        <w:tc>
          <w:tcPr>
            <w:tcW w:w="1890" w:type="dxa"/>
            <w:tcBorders>
              <w:top w:val="nil"/>
              <w:left w:val="nil"/>
              <w:bottom w:val="nil"/>
              <w:right w:val="nil"/>
            </w:tcBorders>
          </w:tcPr>
          <w:p w14:paraId="3B4BB21C" w14:textId="77777777" w:rsidR="00C74A70" w:rsidRPr="004C2330" w:rsidRDefault="004C2330" w:rsidP="004C2330">
            <w:pPr>
              <w:spacing w:after="0"/>
              <w:rPr>
                <w:rFonts w:ascii="Arial" w:hAnsi="Arial" w:cs="Arial"/>
                <w:sz w:val="20"/>
                <w:szCs w:val="20"/>
              </w:rPr>
            </w:pPr>
            <w:r w:rsidRPr="004C2330">
              <w:rPr>
                <w:rFonts w:ascii="Arial" w:hAnsi="Arial" w:cs="Arial"/>
                <w:b/>
                <w:sz w:val="20"/>
                <w:szCs w:val="20"/>
              </w:rPr>
              <w:t>Personal Traits</w:t>
            </w:r>
          </w:p>
        </w:tc>
        <w:tc>
          <w:tcPr>
            <w:tcW w:w="7380" w:type="dxa"/>
            <w:tcBorders>
              <w:top w:val="nil"/>
              <w:left w:val="nil"/>
              <w:bottom w:val="nil"/>
              <w:right w:val="nil"/>
            </w:tcBorders>
            <w:vAlign w:val="center"/>
          </w:tcPr>
          <w:p w14:paraId="61FCA11B" w14:textId="77777777" w:rsidR="00C74A70" w:rsidRPr="004C2330" w:rsidRDefault="004C2330" w:rsidP="004C2330">
            <w:pPr>
              <w:spacing w:after="0"/>
              <w:ind w:right="20"/>
              <w:jc w:val="both"/>
              <w:rPr>
                <w:rFonts w:ascii="Arial" w:hAnsi="Arial" w:cs="Arial"/>
                <w:sz w:val="20"/>
                <w:szCs w:val="20"/>
              </w:rPr>
            </w:pPr>
            <w:r w:rsidRPr="004C2330">
              <w:rPr>
                <w:rFonts w:ascii="Arial" w:hAnsi="Arial" w:cs="Arial"/>
                <w:sz w:val="20"/>
                <w:szCs w:val="20"/>
              </w:rPr>
              <w:t xml:space="preserve">Able to work independently and often assist others when issues arise. Display strong commitment to work and learn. Organised with good planning ahead to allow completing various tasks within tight deadlines. Trained to pay more attention to details and numbers. Initiate problem solving surrounding trade discrepancies or system reporting issues. Self-discipline, humble, integrity, </w:t>
            </w:r>
            <w:proofErr w:type="spellStart"/>
            <w:r w:rsidRPr="004C2330">
              <w:rPr>
                <w:rFonts w:ascii="Arial" w:hAnsi="Arial" w:cs="Arial"/>
                <w:sz w:val="20"/>
                <w:szCs w:val="20"/>
              </w:rPr>
              <w:t>self driven</w:t>
            </w:r>
            <w:proofErr w:type="spellEnd"/>
            <w:r w:rsidRPr="004C2330">
              <w:rPr>
                <w:rFonts w:ascii="Arial" w:hAnsi="Arial" w:cs="Arial"/>
                <w:sz w:val="20"/>
                <w:szCs w:val="20"/>
              </w:rPr>
              <w:t xml:space="preserve"> and take high responsibility for own work.</w:t>
            </w:r>
          </w:p>
        </w:tc>
      </w:tr>
      <w:tr w:rsidR="00C74A70" w:rsidRPr="004C2330" w14:paraId="1D756433" w14:textId="77777777" w:rsidTr="004C2330">
        <w:trPr>
          <w:trHeight w:val="643"/>
        </w:trPr>
        <w:tc>
          <w:tcPr>
            <w:tcW w:w="1890" w:type="dxa"/>
            <w:tcBorders>
              <w:top w:val="nil"/>
              <w:left w:val="nil"/>
              <w:bottom w:val="nil"/>
              <w:right w:val="nil"/>
            </w:tcBorders>
          </w:tcPr>
          <w:p w14:paraId="041F44BD" w14:textId="77777777" w:rsidR="00C74A70" w:rsidRPr="004C2330" w:rsidRDefault="004C2330" w:rsidP="004C2330">
            <w:pPr>
              <w:spacing w:after="0"/>
              <w:rPr>
                <w:rFonts w:ascii="Arial" w:hAnsi="Arial" w:cs="Arial"/>
                <w:sz w:val="20"/>
                <w:szCs w:val="20"/>
              </w:rPr>
            </w:pPr>
            <w:r w:rsidRPr="004C2330">
              <w:rPr>
                <w:rFonts w:ascii="Arial" w:hAnsi="Arial" w:cs="Arial"/>
                <w:b/>
                <w:sz w:val="20"/>
                <w:szCs w:val="20"/>
              </w:rPr>
              <w:t>Hobbies/Interests</w:t>
            </w:r>
          </w:p>
        </w:tc>
        <w:tc>
          <w:tcPr>
            <w:tcW w:w="7380" w:type="dxa"/>
            <w:tcBorders>
              <w:top w:val="nil"/>
              <w:left w:val="nil"/>
              <w:bottom w:val="nil"/>
              <w:right w:val="nil"/>
            </w:tcBorders>
            <w:vAlign w:val="center"/>
          </w:tcPr>
          <w:p w14:paraId="3E9CB916" w14:textId="77777777" w:rsidR="00C74A70" w:rsidRPr="004C2330" w:rsidRDefault="004C2330" w:rsidP="004C2330">
            <w:pPr>
              <w:spacing w:after="0"/>
              <w:jc w:val="both"/>
              <w:rPr>
                <w:rFonts w:ascii="Arial" w:hAnsi="Arial" w:cs="Arial"/>
                <w:sz w:val="20"/>
                <w:szCs w:val="20"/>
              </w:rPr>
            </w:pPr>
            <w:r w:rsidRPr="004C2330">
              <w:rPr>
                <w:rFonts w:ascii="Arial" w:hAnsi="Arial" w:cs="Arial"/>
                <w:sz w:val="20"/>
                <w:szCs w:val="20"/>
              </w:rPr>
              <w:t xml:space="preserve">Surfing the internet, </w:t>
            </w:r>
            <w:proofErr w:type="gramStart"/>
            <w:r w:rsidRPr="004C2330">
              <w:rPr>
                <w:rFonts w:ascii="Arial" w:hAnsi="Arial" w:cs="Arial"/>
                <w:sz w:val="20"/>
                <w:szCs w:val="20"/>
              </w:rPr>
              <w:t>Watching</w:t>
            </w:r>
            <w:proofErr w:type="gramEnd"/>
            <w:r w:rsidRPr="004C2330">
              <w:rPr>
                <w:rFonts w:ascii="Arial" w:hAnsi="Arial" w:cs="Arial"/>
                <w:sz w:val="20"/>
                <w:szCs w:val="20"/>
              </w:rPr>
              <w:t xml:space="preserve"> movies, Playing console Racing/ Strategy games. Follow financial market news from </w:t>
            </w:r>
            <w:proofErr w:type="spellStart"/>
            <w:r w:rsidRPr="004C2330">
              <w:rPr>
                <w:rFonts w:ascii="Arial" w:hAnsi="Arial" w:cs="Arial"/>
                <w:sz w:val="20"/>
                <w:szCs w:val="20"/>
              </w:rPr>
              <w:t>forexlive</w:t>
            </w:r>
            <w:proofErr w:type="spellEnd"/>
            <w:r w:rsidRPr="004C2330">
              <w:rPr>
                <w:rFonts w:ascii="Arial" w:hAnsi="Arial" w:cs="Arial"/>
                <w:sz w:val="20"/>
                <w:szCs w:val="20"/>
              </w:rPr>
              <w:t xml:space="preserve">, </w:t>
            </w:r>
            <w:proofErr w:type="spellStart"/>
            <w:r w:rsidRPr="004C2330">
              <w:rPr>
                <w:rFonts w:ascii="Arial" w:hAnsi="Arial" w:cs="Arial"/>
                <w:sz w:val="20"/>
                <w:szCs w:val="20"/>
              </w:rPr>
              <w:t>markewatch</w:t>
            </w:r>
            <w:proofErr w:type="spellEnd"/>
            <w:r w:rsidRPr="004C2330">
              <w:rPr>
                <w:rFonts w:ascii="Arial" w:hAnsi="Arial" w:cs="Arial"/>
                <w:sz w:val="20"/>
                <w:szCs w:val="20"/>
              </w:rPr>
              <w:t xml:space="preserve">, </w:t>
            </w:r>
            <w:proofErr w:type="spellStart"/>
            <w:r w:rsidRPr="004C2330">
              <w:rPr>
                <w:rFonts w:ascii="Arial" w:hAnsi="Arial" w:cs="Arial"/>
                <w:sz w:val="20"/>
                <w:szCs w:val="20"/>
              </w:rPr>
              <w:t>zerohedge</w:t>
            </w:r>
            <w:proofErr w:type="spellEnd"/>
            <w:r w:rsidRPr="004C2330">
              <w:rPr>
                <w:rFonts w:ascii="Arial" w:hAnsi="Arial" w:cs="Arial"/>
                <w:sz w:val="20"/>
                <w:szCs w:val="20"/>
              </w:rPr>
              <w:t xml:space="preserve"> etc.</w:t>
            </w:r>
          </w:p>
        </w:tc>
      </w:tr>
      <w:tr w:rsidR="00C74A70" w:rsidRPr="004C2330" w14:paraId="0E40931C" w14:textId="77777777" w:rsidTr="004C2330">
        <w:trPr>
          <w:trHeight w:val="322"/>
        </w:trPr>
        <w:tc>
          <w:tcPr>
            <w:tcW w:w="1890" w:type="dxa"/>
            <w:tcBorders>
              <w:top w:val="nil"/>
              <w:left w:val="nil"/>
              <w:bottom w:val="nil"/>
              <w:right w:val="nil"/>
            </w:tcBorders>
            <w:vAlign w:val="bottom"/>
          </w:tcPr>
          <w:p w14:paraId="3B91BEE3" w14:textId="77777777" w:rsidR="00C74A70" w:rsidRPr="004C2330" w:rsidRDefault="004C2330" w:rsidP="004C2330">
            <w:pPr>
              <w:spacing w:after="0"/>
              <w:rPr>
                <w:rFonts w:ascii="Arial" w:hAnsi="Arial" w:cs="Arial"/>
                <w:sz w:val="20"/>
                <w:szCs w:val="20"/>
              </w:rPr>
            </w:pPr>
            <w:r w:rsidRPr="004C2330">
              <w:rPr>
                <w:rFonts w:ascii="Arial" w:hAnsi="Arial" w:cs="Arial"/>
                <w:b/>
                <w:sz w:val="20"/>
                <w:szCs w:val="20"/>
              </w:rPr>
              <w:t>Working Availability</w:t>
            </w:r>
          </w:p>
        </w:tc>
        <w:tc>
          <w:tcPr>
            <w:tcW w:w="7380" w:type="dxa"/>
            <w:tcBorders>
              <w:top w:val="nil"/>
              <w:left w:val="nil"/>
              <w:bottom w:val="nil"/>
              <w:right w:val="nil"/>
            </w:tcBorders>
            <w:vAlign w:val="bottom"/>
          </w:tcPr>
          <w:p w14:paraId="6154D371" w14:textId="77777777" w:rsidR="00C74A70" w:rsidRPr="004C2330" w:rsidRDefault="004C2330" w:rsidP="004C2330">
            <w:pPr>
              <w:spacing w:after="0"/>
              <w:rPr>
                <w:rFonts w:ascii="Arial" w:hAnsi="Arial" w:cs="Arial"/>
                <w:sz w:val="20"/>
                <w:szCs w:val="20"/>
              </w:rPr>
            </w:pPr>
            <w:r w:rsidRPr="004C2330">
              <w:rPr>
                <w:rFonts w:ascii="Arial" w:hAnsi="Arial" w:cs="Arial"/>
                <w:sz w:val="20"/>
                <w:szCs w:val="20"/>
              </w:rPr>
              <w:t>One month after confirmation, No issues with working OT/ Weekend/ Shifts or PH</w:t>
            </w:r>
          </w:p>
        </w:tc>
      </w:tr>
    </w:tbl>
    <w:p w14:paraId="5E5852B7" w14:textId="77777777" w:rsidR="00C74A70" w:rsidRPr="004C2330" w:rsidRDefault="004C2330" w:rsidP="004C2330">
      <w:pPr>
        <w:spacing w:after="0"/>
        <w:ind w:right="9851"/>
        <w:rPr>
          <w:rFonts w:ascii="Arial" w:hAnsi="Arial" w:cs="Arial"/>
          <w:sz w:val="20"/>
          <w:szCs w:val="20"/>
        </w:rPr>
      </w:pPr>
      <w:r w:rsidRPr="004C2330">
        <w:rPr>
          <w:rFonts w:ascii="Arial" w:eastAsia="Calibri" w:hAnsi="Arial" w:cs="Arial"/>
          <w:noProof/>
          <w:sz w:val="20"/>
          <w:szCs w:val="20"/>
        </w:rPr>
        <mc:AlternateContent>
          <mc:Choice Requires="wpg">
            <w:drawing>
              <wp:anchor distT="0" distB="0" distL="114300" distR="114300" simplePos="0" relativeHeight="251659264" behindDoc="0" locked="0" layoutInCell="1" allowOverlap="1" wp14:anchorId="29BFCB6B" wp14:editId="3DEB90ED">
                <wp:simplePos x="0" y="0"/>
                <wp:positionH relativeFrom="column">
                  <wp:posOffset>0</wp:posOffset>
                </wp:positionH>
                <wp:positionV relativeFrom="paragraph">
                  <wp:posOffset>1522137</wp:posOffset>
                </wp:positionV>
                <wp:extent cx="7164705" cy="6096"/>
                <wp:effectExtent l="0" t="0" r="0" b="0"/>
                <wp:wrapSquare wrapText="bothSides"/>
                <wp:docPr id="5632" name="Group 5632"/>
                <wp:cNvGraphicFramePr/>
                <a:graphic xmlns:a="http://schemas.openxmlformats.org/drawingml/2006/main">
                  <a:graphicData uri="http://schemas.microsoft.com/office/word/2010/wordprocessingGroup">
                    <wpg:wgp>
                      <wpg:cNvGrpSpPr/>
                      <wpg:grpSpPr>
                        <a:xfrm>
                          <a:off x="0" y="0"/>
                          <a:ext cx="7164705" cy="6096"/>
                          <a:chOff x="0" y="0"/>
                          <a:chExt cx="7164705" cy="6096"/>
                        </a:xfrm>
                      </wpg:grpSpPr>
                      <wps:wsp>
                        <wps:cNvPr id="886" name="Shape 886"/>
                        <wps:cNvSpPr/>
                        <wps:spPr>
                          <a:xfrm>
                            <a:off x="0" y="0"/>
                            <a:ext cx="7164705" cy="0"/>
                          </a:xfrm>
                          <a:custGeom>
                            <a:avLst/>
                            <a:gdLst/>
                            <a:ahLst/>
                            <a:cxnLst/>
                            <a:rect l="0" t="0" r="0" b="0"/>
                            <a:pathLst>
                              <a:path w="7164705">
                                <a:moveTo>
                                  <a:pt x="0" y="0"/>
                                </a:moveTo>
                                <a:lnTo>
                                  <a:pt x="7164705" y="0"/>
                                </a:lnTo>
                              </a:path>
                            </a:pathLst>
                          </a:custGeom>
                          <a:ln w="6096"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32" style="width:564.15pt;height:0.48pt;position:absolute;mso-position-horizontal-relative:text;mso-position-horizontal:absolute;margin-left:0pt;mso-position-vertical-relative:text;margin-top:119.853pt;" coordsize="71647,60">
                <v:shape id="Shape 886" style="position:absolute;width:71647;height:0;left:0;top:0;" coordsize="7164705,0" path="m0,0l7164705,0">
                  <v:stroke weight="0.48pt" endcap="flat" joinstyle="bevel" on="true" color="#000000"/>
                  <v:fill on="false" color="#000000" opacity="0"/>
                </v:shape>
                <w10:wrap type="square"/>
              </v:group>
            </w:pict>
          </mc:Fallback>
        </mc:AlternateContent>
      </w:r>
    </w:p>
    <w:sectPr w:rsidR="00C74A70" w:rsidRPr="004C2330" w:rsidSect="004C2330">
      <w:pgSz w:w="12240" w:h="15840"/>
      <w:pgMar w:top="1440" w:right="1440" w:bottom="1440" w:left="1440" w:header="720" w:footer="720" w:gutter="0"/>
      <w:cols w:space="720"/>
      <w:docGrid w:linePitch="21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66089"/>
    <w:multiLevelType w:val="hybridMultilevel"/>
    <w:tmpl w:val="81B0D578"/>
    <w:lvl w:ilvl="0" w:tplc="D94498A6">
      <w:start w:val="1"/>
      <w:numFmt w:val="bullet"/>
      <w:lvlText w:val="•"/>
      <w:lvlJc w:val="left"/>
      <w:pPr>
        <w:ind w:left="80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D08B58C">
      <w:start w:val="1"/>
      <w:numFmt w:val="bullet"/>
      <w:lvlText w:val="o"/>
      <w:lvlJc w:val="left"/>
      <w:pPr>
        <w:ind w:left="154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F52AFD2">
      <w:start w:val="1"/>
      <w:numFmt w:val="bullet"/>
      <w:lvlText w:val="▪"/>
      <w:lvlJc w:val="left"/>
      <w:pPr>
        <w:ind w:left="22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3FA874E">
      <w:start w:val="1"/>
      <w:numFmt w:val="bullet"/>
      <w:lvlText w:val="•"/>
      <w:lvlJc w:val="left"/>
      <w:pPr>
        <w:ind w:left="298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2EC8990">
      <w:start w:val="1"/>
      <w:numFmt w:val="bullet"/>
      <w:lvlText w:val="o"/>
      <w:lvlJc w:val="left"/>
      <w:pPr>
        <w:ind w:left="370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85EFB1E">
      <w:start w:val="1"/>
      <w:numFmt w:val="bullet"/>
      <w:lvlText w:val="▪"/>
      <w:lvlJc w:val="left"/>
      <w:pPr>
        <w:ind w:left="442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CCCAD16">
      <w:start w:val="1"/>
      <w:numFmt w:val="bullet"/>
      <w:lvlText w:val="•"/>
      <w:lvlJc w:val="left"/>
      <w:pPr>
        <w:ind w:left="514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C0EDD4A">
      <w:start w:val="1"/>
      <w:numFmt w:val="bullet"/>
      <w:lvlText w:val="o"/>
      <w:lvlJc w:val="left"/>
      <w:pPr>
        <w:ind w:left="586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3105D1E">
      <w:start w:val="1"/>
      <w:numFmt w:val="bullet"/>
      <w:lvlText w:val="▪"/>
      <w:lvlJc w:val="left"/>
      <w:pPr>
        <w:ind w:left="6581"/>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6B100B19"/>
    <w:multiLevelType w:val="hybridMultilevel"/>
    <w:tmpl w:val="FA6827EC"/>
    <w:lvl w:ilvl="0" w:tplc="F1FCF7EA">
      <w:start w:val="1"/>
      <w:numFmt w:val="bullet"/>
      <w:lvlText w:val="•"/>
      <w:lvlJc w:val="left"/>
      <w:pPr>
        <w:ind w:left="70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326E5CA">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F5880044">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8182E04C">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5164762">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D6587698">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3DF8E5AA">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B7A06FC">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2B80414C">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A70"/>
    <w:rsid w:val="004C2330"/>
    <w:rsid w:val="00AC2846"/>
    <w:rsid w:val="00C74A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3B44"/>
  <w15:docId w15:val="{0939186E-AB90-4776-B93A-358392BA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
    </w:pPr>
    <w:rPr>
      <w:rFonts w:ascii="Verdana" w:eastAsia="Verdana" w:hAnsi="Verdana" w:cs="Verdana"/>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Lee De Wei Donovan</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 De Wei Donovan</dc:title>
  <dc:subject/>
  <dc:creator>Daphne Tan</dc:creator>
  <cp:keywords/>
  <cp:lastModifiedBy>Daphne Tan</cp:lastModifiedBy>
  <cp:revision>3</cp:revision>
  <dcterms:created xsi:type="dcterms:W3CDTF">2018-04-12T03:47:00Z</dcterms:created>
  <dcterms:modified xsi:type="dcterms:W3CDTF">2018-04-12T03:58:00Z</dcterms:modified>
</cp:coreProperties>
</file>