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40E" w:rsidRPr="0009240E" w:rsidRDefault="00AB11D0" w:rsidP="0009240E">
      <w:pPr>
        <w:tabs>
          <w:tab w:val="left" w:pos="7560"/>
        </w:tabs>
        <w:jc w:val="right"/>
        <w:rPr>
          <w:b/>
          <w:smallCaps/>
          <w:noProof/>
          <w:sz w:val="16"/>
          <w:szCs w:val="16"/>
          <w14:shadow w14:blurRad="50800" w14:dist="38100" w14:dir="2700000" w14:sx="100000" w14:sy="100000" w14:kx="0" w14:ky="0" w14:algn="tl">
            <w14:srgbClr w14:val="000000">
              <w14:alpha w14:val="60000"/>
            </w14:srgbClr>
          </w14:shadow>
        </w:rPr>
      </w:pPr>
      <w:r>
        <w:rPr>
          <w:noProof/>
          <w:lang w:val="en-SG" w:eastAsia="en-SG"/>
        </w:rPr>
        <mc:AlternateContent>
          <mc:Choice Requires="wps">
            <w:drawing>
              <wp:anchor distT="0" distB="0" distL="114300" distR="114300" simplePos="0" relativeHeight="251658240" behindDoc="0" locked="0" layoutInCell="1" allowOverlap="1" wp14:anchorId="776840A1" wp14:editId="75846422">
                <wp:simplePos x="0" y="0"/>
                <wp:positionH relativeFrom="page">
                  <wp:align>right</wp:align>
                </wp:positionH>
                <wp:positionV relativeFrom="page">
                  <wp:align>top</wp:align>
                </wp:positionV>
                <wp:extent cx="7762875" cy="987425"/>
                <wp:effectExtent l="0" t="0" r="0" b="3175"/>
                <wp:wrapTight wrapText="bothSides">
                  <wp:wrapPolygon edited="0">
                    <wp:start x="106" y="0"/>
                    <wp:lineTo x="106" y="21253"/>
                    <wp:lineTo x="21414" y="21253"/>
                    <wp:lineTo x="21414" y="0"/>
                    <wp:lineTo x="10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98742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40E" w:rsidRPr="006955B7" w:rsidRDefault="0009240E" w:rsidP="006D0D46">
                            <w:pPr>
                              <w:tabs>
                                <w:tab w:val="left" w:pos="7560"/>
                              </w:tabs>
                              <w:jc w:val="center"/>
                              <w:rPr>
                                <w:sz w:val="20"/>
                                <w:szCs w:val="20"/>
                              </w:rPr>
                            </w:pPr>
                            <w:r w:rsidRPr="006955B7">
                              <w:rPr>
                                <w:smallCaps/>
                                <w:noProof/>
                                <w:sz w:val="44"/>
                                <w:szCs w:val="44"/>
                                <w14:shadow w14:blurRad="50800" w14:dist="38100" w14:dir="2700000" w14:sx="100000" w14:sy="100000" w14:kx="0" w14:ky="0" w14:algn="tl">
                                  <w14:srgbClr w14:val="000000">
                                    <w14:alpha w14:val="60000"/>
                                  </w14:srgbClr>
                                </w14:shadow>
                              </w:rPr>
                              <w:t>Nur Syahidah Mohd Sam</w:t>
                            </w:r>
                          </w:p>
                          <w:p w:rsidR="0009240E" w:rsidRDefault="0009240E" w:rsidP="006D0D46">
                            <w:pPr>
                              <w:tabs>
                                <w:tab w:val="left" w:pos="7560"/>
                              </w:tabs>
                              <w:jc w:val="center"/>
                              <w:rPr>
                                <w:b/>
                                <w:sz w:val="20"/>
                                <w:szCs w:val="20"/>
                              </w:rPr>
                            </w:pPr>
                            <w:r>
                              <w:rPr>
                                <w:b/>
                                <w:sz w:val="20"/>
                                <w:szCs w:val="20"/>
                              </w:rPr>
                              <w:t>(65) 9853 4477</w:t>
                            </w:r>
                          </w:p>
                          <w:p w:rsidR="0009240E" w:rsidRDefault="0009240E" w:rsidP="006D0D46">
                            <w:pPr>
                              <w:tabs>
                                <w:tab w:val="left" w:pos="7560"/>
                              </w:tabs>
                              <w:jc w:val="center"/>
                              <w:rPr>
                                <w:b/>
                                <w:sz w:val="20"/>
                                <w:szCs w:val="20"/>
                              </w:rPr>
                            </w:pPr>
                            <w:r>
                              <w:rPr>
                                <w:b/>
                                <w:sz w:val="20"/>
                                <w:szCs w:val="20"/>
                              </w:rPr>
                              <w:t>syahidah.sam@gmail.com</w:t>
                            </w:r>
                          </w:p>
                          <w:p w:rsidR="0009240E" w:rsidRDefault="007A7B75" w:rsidP="006D0D46">
                            <w:pPr>
                              <w:jc w:val="center"/>
                            </w:pPr>
                            <w:r>
                              <w:rPr>
                                <w:b/>
                                <w:sz w:val="20"/>
                                <w:szCs w:val="20"/>
                              </w:rPr>
                              <w:t>652 Jalan Tenaga</w:t>
                            </w:r>
                            <w:r w:rsidR="0009240E">
                              <w:rPr>
                                <w:b/>
                                <w:sz w:val="20"/>
                                <w:szCs w:val="20"/>
                              </w:rPr>
                              <w:t xml:space="preserve"> #0</w:t>
                            </w:r>
                            <w:r>
                              <w:rPr>
                                <w:b/>
                                <w:sz w:val="20"/>
                                <w:szCs w:val="20"/>
                              </w:rPr>
                              <w:t>5-44</w:t>
                            </w:r>
                            <w:r w:rsidR="0009240E">
                              <w:rPr>
                                <w:b/>
                                <w:sz w:val="20"/>
                                <w:szCs w:val="20"/>
                              </w:rPr>
                              <w:t xml:space="preserve"> Singapore </w:t>
                            </w:r>
                            <w:r>
                              <w:rPr>
                                <w:b/>
                                <w:sz w:val="20"/>
                                <w:szCs w:val="20"/>
                              </w:rPr>
                              <w:t>410652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6840A1" id="_x0000_t202" coordsize="21600,21600" o:spt="202" path="m,l,21600r21600,l21600,xe">
                <v:stroke joinstyle="miter"/>
                <v:path gradientshapeok="t" o:connecttype="rect"/>
              </v:shapetype>
              <v:shape id="Text Box 1" o:spid="_x0000_s1026" type="#_x0000_t202" style="position:absolute;left:0;text-align:left;margin-left:560.05pt;margin-top:0;width:611.25pt;height:77.75pt;z-index:2516582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" filled="f" fillcolor="#d8d8d8" stroked="f">
                <v:textbox>
                  <w:txbxContent>
                    <w:p w:rsidR="0009240E" w:rsidRPr="006955B7" w:rsidRDefault="0009240E" w:rsidP="006D0D46">
                      <w:pPr>
                        <w:tabs>
                          <w:tab w:val="left" w:pos="7560"/>
                        </w:tabs>
                        <w:jc w:val="center"/>
                        <w:rPr>
                          <w:sz w:val="20"/>
                          <w:szCs w:val="20"/>
                        </w:rPr>
                      </w:pPr>
                      <w:r w:rsidRPr="006955B7">
                        <w:rPr>
                          <w:smallCaps/>
                          <w:noProof/>
                          <w:sz w:val="44"/>
                          <w:szCs w:val="44"/>
                          <w14:shadow w14:blurRad="50800" w14:dist="38100" w14:dir="2700000" w14:sx="100000" w14:sy="100000" w14:kx="0" w14:ky="0" w14:algn="tl">
                            <w14:srgbClr w14:val="000000">
                              <w14:alpha w14:val="60000"/>
                            </w14:srgbClr>
                          </w14:shadow>
                        </w:rPr>
                        <w:t>Nur Syahidah Mohd Sam</w:t>
                      </w:r>
                    </w:p>
                    <w:p w:rsidR="0009240E" w:rsidRDefault="0009240E" w:rsidP="006D0D46">
                      <w:pPr>
                        <w:tabs>
                          <w:tab w:val="left" w:pos="7560"/>
                        </w:tabs>
                        <w:jc w:val="center"/>
                        <w:rPr>
                          <w:b/>
                          <w:sz w:val="20"/>
                          <w:szCs w:val="20"/>
                        </w:rPr>
                      </w:pPr>
                      <w:r>
                        <w:rPr>
                          <w:b/>
                          <w:sz w:val="20"/>
                          <w:szCs w:val="20"/>
                        </w:rPr>
                        <w:t>(65) 9853 4477</w:t>
                      </w:r>
                    </w:p>
                    <w:p w:rsidR="0009240E" w:rsidRDefault="0009240E" w:rsidP="006D0D46">
                      <w:pPr>
                        <w:tabs>
                          <w:tab w:val="left" w:pos="7560"/>
                        </w:tabs>
                        <w:jc w:val="center"/>
                        <w:rPr>
                          <w:b/>
                          <w:sz w:val="20"/>
                          <w:szCs w:val="20"/>
                        </w:rPr>
                      </w:pPr>
                      <w:r>
                        <w:rPr>
                          <w:b/>
                          <w:sz w:val="20"/>
                          <w:szCs w:val="20"/>
                        </w:rPr>
                        <w:t>syahidah.sam@gmail.com</w:t>
                      </w:r>
                    </w:p>
                    <w:p w:rsidR="0009240E" w:rsidRDefault="007A7B75" w:rsidP="006D0D46">
                      <w:pPr>
                        <w:jc w:val="center"/>
                      </w:pPr>
                      <w:r>
                        <w:rPr>
                          <w:b/>
                          <w:sz w:val="20"/>
                          <w:szCs w:val="20"/>
                        </w:rPr>
                        <w:t>652 Jalan Tenaga</w:t>
                      </w:r>
                      <w:r w:rsidR="0009240E">
                        <w:rPr>
                          <w:b/>
                          <w:sz w:val="20"/>
                          <w:szCs w:val="20"/>
                        </w:rPr>
                        <w:t xml:space="preserve"> #0</w:t>
                      </w:r>
                      <w:r>
                        <w:rPr>
                          <w:b/>
                          <w:sz w:val="20"/>
                          <w:szCs w:val="20"/>
                        </w:rPr>
                        <w:t>5-44</w:t>
                      </w:r>
                      <w:r w:rsidR="0009240E">
                        <w:rPr>
                          <w:b/>
                          <w:sz w:val="20"/>
                          <w:szCs w:val="20"/>
                        </w:rPr>
                        <w:t xml:space="preserve"> Singapore </w:t>
                      </w:r>
                      <w:r>
                        <w:rPr>
                          <w:b/>
                          <w:sz w:val="20"/>
                          <w:szCs w:val="20"/>
                        </w:rPr>
                        <w:t>410652</w:t>
                      </w:r>
                    </w:p>
                  </w:txbxContent>
                </v:textbox>
                <w10:wrap type="tight" anchorx="page" anchory="page"/>
              </v:shape>
            </w:pict>
          </mc:Fallback>
        </mc:AlternateContent>
      </w:r>
      <w:r w:rsidR="0009240E">
        <w:rPr>
          <w:noProof/>
          <w:lang w:val="en-SG" w:eastAsia="en-SG"/>
        </w:rPr>
        <mc:AlternateContent>
          <mc:Choice Requires="wps">
            <w:drawing>
              <wp:anchor distT="0" distB="0" distL="114300" distR="114300" simplePos="0" relativeHeight="251657216" behindDoc="1" locked="0" layoutInCell="1" allowOverlap="1" wp14:anchorId="11D7031A" wp14:editId="009EA4E9">
                <wp:simplePos x="0" y="0"/>
                <wp:positionH relativeFrom="column">
                  <wp:posOffset>-4757420</wp:posOffset>
                </wp:positionH>
                <wp:positionV relativeFrom="paragraph">
                  <wp:posOffset>-926465</wp:posOffset>
                </wp:positionV>
                <wp:extent cx="11650345" cy="987425"/>
                <wp:effectExtent l="0" t="0" r="8255"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0345" cy="987425"/>
                        </a:xfrm>
                        <a:prstGeom prst="rect">
                          <a:avLst/>
                        </a:prstGeom>
                        <a:solidFill>
                          <a:srgbClr val="C0C0C0">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2554C" id="Rectangle 2" o:spid="_x0000_s1026" style="position:absolute;margin-left:-374.6pt;margin-top:-72.95pt;width:917.35pt;height: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" fillcolor="silver" stroked="f">
                <v:fill opacity="32896f"/>
              </v:rect>
            </w:pict>
          </mc:Fallback>
        </mc:AlternateContent>
      </w:r>
      <w:r w:rsidR="0009240E" w:rsidRPr="0009240E">
        <w:rPr>
          <w:b/>
          <w:smallCaps/>
          <w:noProof/>
          <w:sz w:val="44"/>
          <w:szCs w:val="44"/>
          <w14:shadow w14:blurRad="50800" w14:dist="38100" w14:dir="2700000" w14:sx="100000" w14:sy="100000" w14:kx="0" w14:ky="0" w14:algn="tl">
            <w14:srgbClr w14:val="000000">
              <w14:alpha w14:val="60000"/>
            </w14:srgbClr>
          </w14:shadow>
        </w:rPr>
        <w:t xml:space="preserve">                                                 </w:t>
      </w:r>
    </w:p>
    <w:p w:rsidR="0009240E" w:rsidRPr="0009240E" w:rsidRDefault="0009240E" w:rsidP="0009240E">
      <w:pPr>
        <w:pBdr>
          <w:bottom w:val="single" w:sz="12" w:space="1" w:color="auto"/>
        </w:pBdr>
        <w:rPr>
          <w:b/>
          <w:szCs w:val="20"/>
          <w:u w:val="single"/>
          <w14:shadow w14:blurRad="50800" w14:dist="38100" w14:dir="2700000" w14:sx="100000" w14:sy="100000" w14:kx="0" w14:ky="0" w14:algn="tl">
            <w14:srgbClr w14:val="000000">
              <w14:alpha w14:val="60000"/>
            </w14:srgbClr>
          </w14:shadow>
        </w:rPr>
      </w:pPr>
      <w:r w:rsidRPr="0009240E">
        <w:rPr>
          <w:b/>
          <w:szCs w:val="20"/>
          <w:u w:val="single"/>
          <w14:shadow w14:blurRad="50800" w14:dist="38100" w14:dir="2700000" w14:sx="100000" w14:sy="100000" w14:kx="0" w14:ky="0" w14:algn="tl">
            <w14:srgbClr w14:val="000000">
              <w14:alpha w14:val="60000"/>
            </w14:srgbClr>
          </w14:shadow>
        </w:rPr>
        <w:t>OBJECTIVE</w:t>
      </w:r>
    </w:p>
    <w:p w:rsidR="0009240E" w:rsidRDefault="0009240E" w:rsidP="0009240E">
      <w:pPr>
        <w:pBdr>
          <w:bottom w:val="single" w:sz="12" w:space="1" w:color="auto"/>
        </w:pBdr>
        <w:rPr>
          <w:sz w:val="12"/>
          <w:szCs w:val="12"/>
        </w:rPr>
      </w:pPr>
    </w:p>
    <w:p w:rsidR="00C57846" w:rsidRDefault="00C57846" w:rsidP="00C57846">
      <w:pPr>
        <w:pBdr>
          <w:bottom w:val="single" w:sz="12" w:space="1" w:color="auto"/>
        </w:pBdr>
        <w:rPr>
          <w:sz w:val="21"/>
          <w:szCs w:val="21"/>
        </w:rPr>
      </w:pPr>
      <w:r w:rsidRPr="00113CD4">
        <w:rPr>
          <w:sz w:val="21"/>
          <w:szCs w:val="21"/>
          <w:lang w:val="en-GB"/>
        </w:rPr>
        <w:t xml:space="preserve">Seeking a position </w:t>
      </w:r>
      <w:r w:rsidR="00B1399B">
        <w:rPr>
          <w:sz w:val="21"/>
          <w:szCs w:val="21"/>
          <w:lang w:val="en-GB"/>
        </w:rPr>
        <w:t>leveraging on knowledge an</w:t>
      </w:r>
      <w:r w:rsidR="00697FBA">
        <w:rPr>
          <w:sz w:val="21"/>
          <w:szCs w:val="21"/>
          <w:lang w:val="en-GB"/>
        </w:rPr>
        <w:t xml:space="preserve">d competency </w:t>
      </w:r>
      <w:r w:rsidR="004E3876">
        <w:rPr>
          <w:sz w:val="21"/>
          <w:szCs w:val="21"/>
          <w:lang w:val="en-GB"/>
        </w:rPr>
        <w:t>from exposure in audit and</w:t>
      </w:r>
      <w:r w:rsidR="00697FBA">
        <w:rPr>
          <w:sz w:val="21"/>
          <w:szCs w:val="21"/>
          <w:lang w:val="en-GB"/>
        </w:rPr>
        <w:t xml:space="preserve"> </w:t>
      </w:r>
      <w:r w:rsidR="00EA391A">
        <w:rPr>
          <w:sz w:val="21"/>
          <w:szCs w:val="21"/>
          <w:lang w:val="en-GB"/>
        </w:rPr>
        <w:t>financial services space</w:t>
      </w:r>
      <w:r w:rsidR="00B1399B">
        <w:rPr>
          <w:sz w:val="21"/>
          <w:szCs w:val="21"/>
          <w:lang w:val="en-GB"/>
        </w:rPr>
        <w:t>,</w:t>
      </w:r>
      <w:r w:rsidRPr="00113CD4">
        <w:rPr>
          <w:sz w:val="21"/>
          <w:szCs w:val="21"/>
          <w:lang w:val="en-GB"/>
        </w:rPr>
        <w:t xml:space="preserve"> with opportunities to grow as an individual and team player.</w:t>
      </w:r>
      <w:r>
        <w:rPr>
          <w:sz w:val="21"/>
          <w:szCs w:val="21"/>
          <w:lang w:val="en-GB"/>
        </w:rPr>
        <w:t xml:space="preserve"> </w:t>
      </w:r>
    </w:p>
    <w:p w:rsidR="00C57846" w:rsidRDefault="00C57846" w:rsidP="0009240E">
      <w:pPr>
        <w:pBdr>
          <w:bottom w:val="single" w:sz="12" w:space="1" w:color="auto"/>
        </w:pBdr>
        <w:rPr>
          <w:sz w:val="12"/>
          <w:szCs w:val="12"/>
        </w:rPr>
      </w:pPr>
    </w:p>
    <w:p w:rsidR="0009240E" w:rsidRPr="0009240E" w:rsidRDefault="0009240E" w:rsidP="0009240E">
      <w:pPr>
        <w:pBdr>
          <w:bottom w:val="single" w:sz="12" w:space="1" w:color="auto"/>
        </w:pBdr>
        <w:rPr>
          <w:b/>
          <w:szCs w:val="20"/>
          <w14:shadow w14:blurRad="50800" w14:dist="38100" w14:dir="2700000" w14:sx="100000" w14:sy="100000" w14:kx="0" w14:ky="0" w14:algn="tl">
            <w14:srgbClr w14:val="000000">
              <w14:alpha w14:val="60000"/>
            </w14:srgbClr>
          </w14:shadow>
        </w:rPr>
      </w:pPr>
      <w:r w:rsidRPr="0009240E">
        <w:rPr>
          <w:b/>
          <w:szCs w:val="20"/>
          <w14:shadow w14:blurRad="50800" w14:dist="38100" w14:dir="2700000" w14:sx="100000" w14:sy="100000" w14:kx="0" w14:ky="0" w14:algn="tl">
            <w14:srgbClr w14:val="000000">
              <w14:alpha w14:val="60000"/>
            </w14:srgbClr>
          </w14:shadow>
        </w:rPr>
        <w:t>PROFESSIONAL EXPERIENCE</w:t>
      </w:r>
    </w:p>
    <w:p w:rsidR="0009240E" w:rsidRPr="00944A2C" w:rsidRDefault="0009240E" w:rsidP="0009240E">
      <w:pPr>
        <w:rPr>
          <w:b/>
          <w:sz w:val="10"/>
          <w:szCs w:val="12"/>
        </w:rPr>
      </w:pPr>
    </w:p>
    <w:tbl>
      <w:tblPr>
        <w:tblW w:w="0" w:type="auto"/>
        <w:tblLook w:val="04A0" w:firstRow="1" w:lastRow="0" w:firstColumn="1" w:lastColumn="0" w:noHBand="0" w:noVBand="1"/>
      </w:tblPr>
      <w:tblGrid>
        <w:gridCol w:w="4682"/>
        <w:gridCol w:w="23"/>
        <w:gridCol w:w="4655"/>
      </w:tblGrid>
      <w:tr w:rsidR="006C05C6" w:rsidTr="002A546F">
        <w:tc>
          <w:tcPr>
            <w:tcW w:w="9360" w:type="dxa"/>
            <w:gridSpan w:val="3"/>
          </w:tcPr>
          <w:p w:rsidR="006C05C6" w:rsidRDefault="006C05C6">
            <w:pPr>
              <w:rPr>
                <w:b/>
                <w:sz w:val="22"/>
                <w:szCs w:val="22"/>
                <w:lang w:val="en-SG" w:eastAsia="zh-CN"/>
              </w:rPr>
            </w:pPr>
            <w:r>
              <w:rPr>
                <w:b/>
                <w:sz w:val="22"/>
                <w:szCs w:val="22"/>
                <w:lang w:val="en-SG" w:eastAsia="zh-CN"/>
              </w:rPr>
              <w:t>HSBC INSTITUTIONAL TRUST SERVICES (SINGAPORE) LIMITED</w:t>
            </w:r>
          </w:p>
        </w:tc>
      </w:tr>
      <w:tr w:rsidR="006C05C6" w:rsidTr="006C05C6">
        <w:tc>
          <w:tcPr>
            <w:tcW w:w="4682" w:type="dxa"/>
            <w:hideMark/>
          </w:tcPr>
          <w:p w:rsidR="006C05C6" w:rsidRDefault="006D0D46" w:rsidP="00DB23BE">
            <w:pPr>
              <w:rPr>
                <w:b/>
                <w:i/>
                <w:sz w:val="22"/>
                <w:szCs w:val="22"/>
                <w:lang w:val="en-SG" w:eastAsia="zh-CN"/>
              </w:rPr>
            </w:pPr>
            <w:r>
              <w:rPr>
                <w:b/>
                <w:i/>
                <w:sz w:val="22"/>
                <w:szCs w:val="22"/>
                <w:lang w:val="en-SG" w:eastAsia="zh-CN"/>
              </w:rPr>
              <w:t>Manager, Client Services (REITS)</w:t>
            </w:r>
          </w:p>
        </w:tc>
        <w:tc>
          <w:tcPr>
            <w:tcW w:w="4678" w:type="dxa"/>
            <w:gridSpan w:val="2"/>
            <w:hideMark/>
          </w:tcPr>
          <w:p w:rsidR="006C05C6" w:rsidRDefault="006C05C6" w:rsidP="00DB23BE">
            <w:pPr>
              <w:jc w:val="right"/>
              <w:rPr>
                <w:sz w:val="22"/>
                <w:szCs w:val="22"/>
                <w:lang w:val="en-SG" w:eastAsia="zh-CN"/>
              </w:rPr>
            </w:pPr>
            <w:r>
              <w:rPr>
                <w:sz w:val="22"/>
                <w:szCs w:val="22"/>
                <w:lang w:val="en-SG" w:eastAsia="zh-CN"/>
              </w:rPr>
              <w:t>February 2012 – June 2016</w:t>
            </w:r>
          </w:p>
        </w:tc>
      </w:tr>
      <w:tr w:rsidR="006C05C6" w:rsidTr="002A546F">
        <w:tc>
          <w:tcPr>
            <w:tcW w:w="9360" w:type="dxa"/>
            <w:gridSpan w:val="3"/>
          </w:tcPr>
          <w:p w:rsidR="006D0D46" w:rsidRPr="0003407A" w:rsidRDefault="006D0D46" w:rsidP="006D0D46">
            <w:pPr>
              <w:pStyle w:val="ListParagraph"/>
              <w:numPr>
                <w:ilvl w:val="0"/>
                <w:numId w:val="5"/>
              </w:numPr>
              <w:spacing w:before="100" w:beforeAutospacing="1" w:after="225"/>
              <w:rPr>
                <w:sz w:val="21"/>
                <w:szCs w:val="21"/>
              </w:rPr>
            </w:pPr>
            <w:r w:rsidRPr="0003407A">
              <w:rPr>
                <w:sz w:val="21"/>
                <w:szCs w:val="21"/>
              </w:rPr>
              <w:t>Managed a portfolio of listed Funds (real estate investment trusts or REITS) in capacity as Trustee which includes review and processing of payments and transactions, maintenance of data, review of financial statements and reports submitted by Fund Managers.</w:t>
            </w:r>
          </w:p>
          <w:p w:rsidR="006D0D46" w:rsidRPr="0003407A" w:rsidRDefault="006D0D46" w:rsidP="006D0D46">
            <w:pPr>
              <w:pStyle w:val="ListParagraph"/>
              <w:numPr>
                <w:ilvl w:val="0"/>
                <w:numId w:val="5"/>
              </w:numPr>
              <w:spacing w:before="100" w:beforeAutospacing="1" w:after="225"/>
              <w:rPr>
                <w:sz w:val="21"/>
                <w:szCs w:val="21"/>
              </w:rPr>
            </w:pPr>
            <w:r w:rsidRPr="0003407A">
              <w:rPr>
                <w:sz w:val="21"/>
                <w:szCs w:val="21"/>
              </w:rPr>
              <w:t>Ensure fiduciary duties are executed in accordance with Funds with the MAS (Code of Collective Investment Schemes) and SGX regulations and REITS’ constitution documents.</w:t>
            </w:r>
          </w:p>
          <w:p w:rsidR="006D0D46" w:rsidRPr="0003407A" w:rsidRDefault="006D0D46" w:rsidP="006D0D46">
            <w:pPr>
              <w:pStyle w:val="ListParagraph"/>
              <w:numPr>
                <w:ilvl w:val="0"/>
                <w:numId w:val="5"/>
              </w:numPr>
              <w:spacing w:before="100" w:beforeAutospacing="1" w:after="225"/>
              <w:rPr>
                <w:sz w:val="21"/>
                <w:szCs w:val="21"/>
              </w:rPr>
            </w:pPr>
            <w:r w:rsidRPr="0003407A">
              <w:rPr>
                <w:sz w:val="21"/>
                <w:szCs w:val="21"/>
              </w:rPr>
              <w:t>Performed regular KYC and compliance reviews on R</w:t>
            </w:r>
            <w:bookmarkStart w:id="0" w:name="_GoBack"/>
            <w:bookmarkEnd w:id="0"/>
            <w:r w:rsidRPr="0003407A">
              <w:rPr>
                <w:sz w:val="21"/>
                <w:szCs w:val="21"/>
              </w:rPr>
              <w:t>EITs and Fund Managers.</w:t>
            </w:r>
          </w:p>
          <w:p w:rsidR="006D0D46" w:rsidRPr="0003407A" w:rsidRDefault="006D0D46" w:rsidP="006D0D46">
            <w:pPr>
              <w:pStyle w:val="ListParagraph"/>
              <w:numPr>
                <w:ilvl w:val="0"/>
                <w:numId w:val="5"/>
              </w:numPr>
              <w:spacing w:before="100" w:beforeAutospacing="1" w:after="225"/>
              <w:rPr>
                <w:sz w:val="21"/>
                <w:szCs w:val="21"/>
              </w:rPr>
            </w:pPr>
            <w:r w:rsidRPr="0003407A">
              <w:rPr>
                <w:sz w:val="21"/>
                <w:szCs w:val="21"/>
              </w:rPr>
              <w:t>Performed site visits to properties under custody and assessed adequacy of maintenance and reflection of condition in the property reports.</w:t>
            </w:r>
          </w:p>
          <w:p w:rsidR="006D0D46" w:rsidRPr="0003407A" w:rsidRDefault="006D0D46" w:rsidP="006D0D46">
            <w:pPr>
              <w:pStyle w:val="ListParagraph"/>
              <w:numPr>
                <w:ilvl w:val="0"/>
                <w:numId w:val="5"/>
              </w:numPr>
              <w:spacing w:before="100" w:beforeAutospacing="1" w:after="225"/>
              <w:rPr>
                <w:sz w:val="21"/>
                <w:szCs w:val="21"/>
              </w:rPr>
            </w:pPr>
            <w:r w:rsidRPr="0003407A">
              <w:rPr>
                <w:sz w:val="21"/>
                <w:szCs w:val="21"/>
              </w:rPr>
              <w:t>Advised Fund Managers on Trustee's insights on Fund's operations, asset portfolio and compliance matters.</w:t>
            </w:r>
          </w:p>
          <w:p w:rsidR="006D0D46" w:rsidRPr="0003407A" w:rsidRDefault="006D0D46" w:rsidP="006D0D46">
            <w:pPr>
              <w:pStyle w:val="ListParagraph"/>
              <w:numPr>
                <w:ilvl w:val="0"/>
                <w:numId w:val="5"/>
              </w:numPr>
              <w:spacing w:before="100" w:beforeAutospacing="1" w:after="225"/>
              <w:rPr>
                <w:sz w:val="21"/>
                <w:szCs w:val="21"/>
              </w:rPr>
            </w:pPr>
            <w:r w:rsidRPr="0003407A">
              <w:rPr>
                <w:sz w:val="21"/>
                <w:szCs w:val="21"/>
              </w:rPr>
              <w:t>Performed high level review on asset purchase and disposal by Fund Manager, for Trustee Head’s approval. </w:t>
            </w:r>
          </w:p>
          <w:p w:rsidR="006D0D46" w:rsidRPr="0003407A" w:rsidRDefault="006D0D46" w:rsidP="006D0D46">
            <w:pPr>
              <w:pStyle w:val="ListParagraph"/>
              <w:numPr>
                <w:ilvl w:val="0"/>
                <w:numId w:val="5"/>
              </w:numPr>
              <w:spacing w:before="100" w:beforeAutospacing="1" w:after="225"/>
              <w:rPr>
                <w:sz w:val="21"/>
                <w:szCs w:val="21"/>
              </w:rPr>
            </w:pPr>
            <w:r w:rsidRPr="0003407A">
              <w:rPr>
                <w:sz w:val="21"/>
                <w:szCs w:val="21"/>
              </w:rPr>
              <w:t>Executed wire transfers, stop payments and account transfers.</w:t>
            </w:r>
          </w:p>
          <w:p w:rsidR="006D0D46" w:rsidRPr="0003407A" w:rsidRDefault="006D0D46" w:rsidP="006D0D46">
            <w:pPr>
              <w:pStyle w:val="ListParagraph"/>
              <w:numPr>
                <w:ilvl w:val="0"/>
                <w:numId w:val="5"/>
              </w:numPr>
              <w:spacing w:before="100" w:beforeAutospacing="1" w:after="225"/>
              <w:rPr>
                <w:sz w:val="21"/>
                <w:szCs w:val="21"/>
              </w:rPr>
            </w:pPr>
            <w:r w:rsidRPr="0003407A">
              <w:rPr>
                <w:sz w:val="21"/>
                <w:szCs w:val="21"/>
              </w:rPr>
              <w:t>Trained subordinates and supporting staff on Trustee's role and review of documents and payments.</w:t>
            </w:r>
          </w:p>
          <w:p w:rsidR="006C05C6" w:rsidRDefault="006C05C6">
            <w:pPr>
              <w:rPr>
                <w:b/>
                <w:sz w:val="22"/>
                <w:szCs w:val="22"/>
                <w:lang w:val="en-SG" w:eastAsia="zh-CN"/>
              </w:rPr>
            </w:pPr>
          </w:p>
        </w:tc>
      </w:tr>
      <w:tr w:rsidR="0009240E" w:rsidTr="006C05C6">
        <w:tc>
          <w:tcPr>
            <w:tcW w:w="4705" w:type="dxa"/>
            <w:gridSpan w:val="2"/>
            <w:hideMark/>
          </w:tcPr>
          <w:p w:rsidR="0009240E" w:rsidRDefault="0009240E">
            <w:pPr>
              <w:rPr>
                <w:b/>
                <w:sz w:val="22"/>
                <w:szCs w:val="22"/>
                <w:lang w:val="en-SG" w:eastAsia="zh-CN"/>
              </w:rPr>
            </w:pPr>
            <w:r>
              <w:rPr>
                <w:b/>
                <w:sz w:val="22"/>
                <w:szCs w:val="22"/>
                <w:lang w:val="en-SG" w:eastAsia="zh-CN"/>
              </w:rPr>
              <w:t>KPMG LLP, SINGAPORE</w:t>
            </w:r>
          </w:p>
        </w:tc>
        <w:tc>
          <w:tcPr>
            <w:tcW w:w="4655" w:type="dxa"/>
          </w:tcPr>
          <w:p w:rsidR="0009240E" w:rsidRDefault="0009240E">
            <w:pPr>
              <w:rPr>
                <w:b/>
                <w:sz w:val="22"/>
                <w:szCs w:val="22"/>
                <w:lang w:val="en-SG" w:eastAsia="zh-CN"/>
              </w:rPr>
            </w:pPr>
          </w:p>
        </w:tc>
      </w:tr>
      <w:tr w:rsidR="0009240E" w:rsidTr="006C05C6">
        <w:tc>
          <w:tcPr>
            <w:tcW w:w="4705" w:type="dxa"/>
            <w:gridSpan w:val="2"/>
            <w:hideMark/>
          </w:tcPr>
          <w:p w:rsidR="0009240E" w:rsidRDefault="0009240E">
            <w:pPr>
              <w:rPr>
                <w:b/>
                <w:i/>
                <w:sz w:val="22"/>
                <w:szCs w:val="22"/>
                <w:lang w:val="en-SG" w:eastAsia="zh-CN"/>
              </w:rPr>
            </w:pPr>
            <w:r>
              <w:rPr>
                <w:b/>
                <w:i/>
                <w:sz w:val="22"/>
                <w:szCs w:val="22"/>
                <w:lang w:val="en-SG" w:eastAsia="zh-CN"/>
              </w:rPr>
              <w:t>Assistant Manager, Audit</w:t>
            </w:r>
          </w:p>
          <w:p w:rsidR="0009240E" w:rsidRDefault="0009240E">
            <w:pPr>
              <w:rPr>
                <w:b/>
                <w:i/>
                <w:sz w:val="22"/>
                <w:szCs w:val="22"/>
                <w:lang w:val="en-SG" w:eastAsia="zh-CN"/>
              </w:rPr>
            </w:pPr>
            <w:r>
              <w:rPr>
                <w:b/>
                <w:i/>
                <w:sz w:val="22"/>
                <w:szCs w:val="22"/>
                <w:lang w:val="en-SG" w:eastAsia="zh-CN"/>
              </w:rPr>
              <w:t>Senior Associate, Audit</w:t>
            </w:r>
          </w:p>
        </w:tc>
        <w:tc>
          <w:tcPr>
            <w:tcW w:w="4655" w:type="dxa"/>
            <w:hideMark/>
          </w:tcPr>
          <w:p w:rsidR="0009240E" w:rsidRDefault="0009240E">
            <w:pPr>
              <w:jc w:val="right"/>
              <w:rPr>
                <w:sz w:val="22"/>
                <w:szCs w:val="22"/>
                <w:lang w:val="en-SG" w:eastAsia="zh-CN"/>
              </w:rPr>
            </w:pPr>
            <w:r>
              <w:rPr>
                <w:sz w:val="22"/>
                <w:szCs w:val="22"/>
                <w:lang w:val="en-SG" w:eastAsia="zh-CN"/>
              </w:rPr>
              <w:t>July 2010 – December 2011</w:t>
            </w:r>
          </w:p>
          <w:p w:rsidR="0009240E" w:rsidRDefault="0009240E">
            <w:pPr>
              <w:jc w:val="right"/>
              <w:rPr>
                <w:sz w:val="22"/>
                <w:szCs w:val="22"/>
                <w:lang w:val="en-SG" w:eastAsia="zh-CN"/>
              </w:rPr>
            </w:pPr>
            <w:r>
              <w:rPr>
                <w:sz w:val="22"/>
                <w:szCs w:val="22"/>
                <w:lang w:val="en-SG" w:eastAsia="zh-CN"/>
              </w:rPr>
              <w:t>July 2008 – June 2010</w:t>
            </w:r>
          </w:p>
        </w:tc>
      </w:tr>
      <w:tr w:rsidR="0009240E" w:rsidTr="006C05C6">
        <w:tc>
          <w:tcPr>
            <w:tcW w:w="4705" w:type="dxa"/>
            <w:gridSpan w:val="2"/>
            <w:hideMark/>
          </w:tcPr>
          <w:p w:rsidR="0009240E" w:rsidRDefault="0009240E">
            <w:pPr>
              <w:rPr>
                <w:b/>
                <w:i/>
                <w:sz w:val="22"/>
                <w:szCs w:val="22"/>
                <w:lang w:val="en-SG" w:eastAsia="zh-CN"/>
              </w:rPr>
            </w:pPr>
            <w:r>
              <w:rPr>
                <w:b/>
                <w:i/>
                <w:sz w:val="22"/>
                <w:szCs w:val="22"/>
                <w:lang w:val="en-SG" w:eastAsia="zh-CN"/>
              </w:rPr>
              <w:t>Associate, Audit</w:t>
            </w:r>
          </w:p>
        </w:tc>
        <w:tc>
          <w:tcPr>
            <w:tcW w:w="4655" w:type="dxa"/>
            <w:hideMark/>
          </w:tcPr>
          <w:p w:rsidR="0009240E" w:rsidRDefault="0009240E">
            <w:pPr>
              <w:jc w:val="right"/>
              <w:rPr>
                <w:sz w:val="22"/>
                <w:szCs w:val="22"/>
                <w:lang w:val="en-SG" w:eastAsia="zh-CN"/>
              </w:rPr>
            </w:pPr>
            <w:r>
              <w:rPr>
                <w:sz w:val="22"/>
                <w:szCs w:val="22"/>
                <w:lang w:val="en-SG" w:eastAsia="zh-CN"/>
              </w:rPr>
              <w:t>September 2006 – June 2008</w:t>
            </w:r>
          </w:p>
        </w:tc>
      </w:tr>
    </w:tbl>
    <w:p w:rsidR="00651FFA" w:rsidRDefault="00651FFA" w:rsidP="0009240E">
      <w:pPr>
        <w:numPr>
          <w:ilvl w:val="0"/>
          <w:numId w:val="1"/>
        </w:numPr>
        <w:rPr>
          <w:sz w:val="21"/>
          <w:szCs w:val="21"/>
        </w:rPr>
      </w:pPr>
      <w:r>
        <w:rPr>
          <w:sz w:val="21"/>
          <w:szCs w:val="21"/>
        </w:rPr>
        <w:t>Managing financial services audit engagements, including initial engagement planning, analysis of controls and processes, preparation and review of audit documentations and reports.</w:t>
      </w:r>
    </w:p>
    <w:p w:rsidR="00651FFA" w:rsidRDefault="00651FFA" w:rsidP="0009240E">
      <w:pPr>
        <w:numPr>
          <w:ilvl w:val="0"/>
          <w:numId w:val="1"/>
        </w:numPr>
        <w:rPr>
          <w:sz w:val="21"/>
          <w:szCs w:val="21"/>
        </w:rPr>
      </w:pPr>
      <w:r>
        <w:rPr>
          <w:sz w:val="21"/>
          <w:szCs w:val="21"/>
        </w:rPr>
        <w:t>Monitoring of engagement progress against budget and timeline.</w:t>
      </w:r>
    </w:p>
    <w:p w:rsidR="00651FFA" w:rsidRDefault="00651FFA" w:rsidP="0009240E">
      <w:pPr>
        <w:numPr>
          <w:ilvl w:val="0"/>
          <w:numId w:val="1"/>
        </w:numPr>
        <w:rPr>
          <w:sz w:val="21"/>
          <w:szCs w:val="21"/>
        </w:rPr>
      </w:pPr>
      <w:r>
        <w:rPr>
          <w:sz w:val="21"/>
          <w:szCs w:val="21"/>
        </w:rPr>
        <w:t>Developing and maintaining long-term client relationship and identifying business development opportunities, such as opportunities for other business functions such as tax and advisory.</w:t>
      </w:r>
    </w:p>
    <w:p w:rsidR="00651FFA" w:rsidRPr="00651FFA" w:rsidRDefault="00651FFA" w:rsidP="0009240E">
      <w:pPr>
        <w:numPr>
          <w:ilvl w:val="0"/>
          <w:numId w:val="1"/>
        </w:numPr>
        <w:rPr>
          <w:sz w:val="21"/>
          <w:szCs w:val="21"/>
        </w:rPr>
      </w:pPr>
      <w:r w:rsidRPr="00651FFA">
        <w:rPr>
          <w:sz w:val="21"/>
          <w:szCs w:val="21"/>
        </w:rPr>
        <w:t xml:space="preserve">Coaching and developing team members to achieve technical competencies and efficient performance. </w:t>
      </w:r>
    </w:p>
    <w:p w:rsidR="00651FFA" w:rsidRPr="00651FFA" w:rsidRDefault="00651FFA" w:rsidP="0009240E">
      <w:pPr>
        <w:numPr>
          <w:ilvl w:val="0"/>
          <w:numId w:val="1"/>
        </w:numPr>
        <w:rPr>
          <w:sz w:val="21"/>
          <w:szCs w:val="21"/>
        </w:rPr>
      </w:pPr>
      <w:r w:rsidRPr="00651FFA">
        <w:rPr>
          <w:sz w:val="21"/>
          <w:szCs w:val="21"/>
        </w:rPr>
        <w:t xml:space="preserve">Articulated audit findings, risks and detailed recommendations to upper management. </w:t>
      </w:r>
    </w:p>
    <w:p w:rsidR="0009240E" w:rsidRPr="00651FFA" w:rsidRDefault="00651FFA" w:rsidP="005C3A66">
      <w:pPr>
        <w:numPr>
          <w:ilvl w:val="0"/>
          <w:numId w:val="1"/>
        </w:numPr>
        <w:rPr>
          <w:sz w:val="18"/>
          <w:szCs w:val="21"/>
        </w:rPr>
      </w:pPr>
      <w:r w:rsidRPr="00651FFA">
        <w:rPr>
          <w:sz w:val="21"/>
          <w:szCs w:val="21"/>
        </w:rPr>
        <w:t xml:space="preserve">Client engagements afforded exposure to Japanese SOX and </w:t>
      </w:r>
      <w:r w:rsidR="007A7B75" w:rsidRPr="00651FFA">
        <w:rPr>
          <w:sz w:val="21"/>
          <w:szCs w:val="21"/>
        </w:rPr>
        <w:t>IPO exercises such as</w:t>
      </w:r>
      <w:r w:rsidR="0009240E" w:rsidRPr="00651FFA">
        <w:rPr>
          <w:sz w:val="21"/>
          <w:szCs w:val="21"/>
        </w:rPr>
        <w:t xml:space="preserve"> CapitaMalls Asia Limited (Market capitalisation: USD 5.96 billion</w:t>
      </w:r>
      <w:r>
        <w:rPr>
          <w:sz w:val="21"/>
          <w:szCs w:val="21"/>
        </w:rPr>
        <w:t>).</w:t>
      </w:r>
    </w:p>
    <w:p w:rsidR="007A7B75" w:rsidRPr="007A7B75" w:rsidRDefault="007A7B75" w:rsidP="007A7B75">
      <w:pPr>
        <w:ind w:left="720"/>
        <w:rPr>
          <w:sz w:val="18"/>
          <w:szCs w:val="18"/>
        </w:rPr>
      </w:pPr>
    </w:p>
    <w:p w:rsidR="0009240E" w:rsidRPr="0009240E" w:rsidRDefault="0009240E" w:rsidP="0009240E">
      <w:pPr>
        <w:pBdr>
          <w:bottom w:val="single" w:sz="12" w:space="1" w:color="auto"/>
        </w:pBdr>
        <w:rPr>
          <w:b/>
          <w:szCs w:val="20"/>
          <w14:shadow w14:blurRad="50800" w14:dist="38100" w14:dir="2700000" w14:sx="100000" w14:sy="100000" w14:kx="0" w14:ky="0" w14:algn="tl">
            <w14:srgbClr w14:val="000000">
              <w14:alpha w14:val="60000"/>
            </w14:srgbClr>
          </w14:shadow>
        </w:rPr>
      </w:pPr>
      <w:r w:rsidRPr="0009240E">
        <w:rPr>
          <w:b/>
          <w:szCs w:val="20"/>
          <w14:shadow w14:blurRad="50800" w14:dist="38100" w14:dir="2700000" w14:sx="100000" w14:sy="100000" w14:kx="0" w14:ky="0" w14:algn="tl">
            <w14:srgbClr w14:val="000000">
              <w14:alpha w14:val="60000"/>
            </w14:srgbClr>
          </w14:shadow>
        </w:rPr>
        <w:t>EDUCATION</w:t>
      </w:r>
    </w:p>
    <w:p w:rsidR="0009240E" w:rsidRPr="0009240E" w:rsidRDefault="0009240E" w:rsidP="0009240E">
      <w:pPr>
        <w:ind w:left="180"/>
        <w:rPr>
          <w:sz w:val="10"/>
          <w:szCs w:val="16"/>
        </w:rPr>
      </w:pPr>
    </w:p>
    <w:tbl>
      <w:tblPr>
        <w:tblW w:w="0" w:type="auto"/>
        <w:tblLook w:val="04A0" w:firstRow="1" w:lastRow="0" w:firstColumn="1" w:lastColumn="0" w:noHBand="0" w:noVBand="1"/>
      </w:tblPr>
      <w:tblGrid>
        <w:gridCol w:w="7304"/>
        <w:gridCol w:w="2056"/>
      </w:tblGrid>
      <w:tr w:rsidR="0009240E" w:rsidTr="0009240E">
        <w:tc>
          <w:tcPr>
            <w:tcW w:w="7477" w:type="dxa"/>
            <w:hideMark/>
          </w:tcPr>
          <w:p w:rsidR="0009240E" w:rsidRDefault="0009240E">
            <w:pPr>
              <w:rPr>
                <w:b/>
                <w:sz w:val="22"/>
                <w:szCs w:val="22"/>
                <w:lang w:val="en-SG" w:eastAsia="zh-CN"/>
              </w:rPr>
            </w:pPr>
            <w:r>
              <w:rPr>
                <w:b/>
                <w:caps/>
                <w:sz w:val="22"/>
                <w:szCs w:val="20"/>
                <w:lang w:val="en-SG" w:eastAsia="zh-CN"/>
              </w:rPr>
              <w:t xml:space="preserve">B.Sc </w:t>
            </w:r>
            <w:r>
              <w:rPr>
                <w:b/>
                <w:smallCaps/>
                <w:sz w:val="22"/>
                <w:szCs w:val="16"/>
                <w:lang w:val="en-SG" w:eastAsia="zh-CN"/>
              </w:rPr>
              <w:t>in</w:t>
            </w:r>
            <w:r>
              <w:rPr>
                <w:b/>
                <w:caps/>
                <w:sz w:val="22"/>
                <w:szCs w:val="20"/>
                <w:lang w:val="en-SG" w:eastAsia="zh-CN"/>
              </w:rPr>
              <w:t xml:space="preserve"> ACCOUNTING &amp; Finance, </w:t>
            </w:r>
            <w:r>
              <w:rPr>
                <w:b/>
                <w:sz w:val="22"/>
                <w:szCs w:val="20"/>
                <w:lang w:val="en-SG" w:eastAsia="zh-CN"/>
              </w:rPr>
              <w:t>2</w:t>
            </w:r>
            <w:r>
              <w:rPr>
                <w:b/>
                <w:sz w:val="22"/>
                <w:szCs w:val="20"/>
                <w:vertAlign w:val="superscript"/>
                <w:lang w:val="en-SG" w:eastAsia="zh-CN"/>
              </w:rPr>
              <w:t>ND</w:t>
            </w:r>
            <w:r>
              <w:rPr>
                <w:b/>
                <w:sz w:val="22"/>
                <w:szCs w:val="20"/>
                <w:lang w:val="en-SG" w:eastAsia="zh-CN"/>
              </w:rPr>
              <w:t xml:space="preserve"> LOWER CLASS HONOURS</w:t>
            </w:r>
            <w:r w:rsidRPr="0009240E">
              <w:rPr>
                <w:b/>
                <w:caps/>
                <w:sz w:val="22"/>
                <w:szCs w:val="20"/>
                <w:lang w:val="en-SG" w:eastAsia="zh-CN"/>
                <w14:shadow w14:blurRad="50800" w14:dist="38100" w14:dir="2700000" w14:sx="100000" w14:sy="100000" w14:kx="0" w14:ky="0" w14:algn="tl">
                  <w14:srgbClr w14:val="000000">
                    <w14:alpha w14:val="60000"/>
                  </w14:srgbClr>
                </w14:shadow>
              </w:rPr>
              <w:t xml:space="preserve">      </w:t>
            </w:r>
            <w:r>
              <w:rPr>
                <w:i/>
                <w:sz w:val="22"/>
                <w:szCs w:val="20"/>
                <w:lang w:val="en-SG" w:eastAsia="zh-CN"/>
              </w:rPr>
              <w:t xml:space="preserve">                             </w:t>
            </w:r>
          </w:p>
        </w:tc>
        <w:tc>
          <w:tcPr>
            <w:tcW w:w="2099" w:type="dxa"/>
            <w:hideMark/>
          </w:tcPr>
          <w:p w:rsidR="0009240E" w:rsidRDefault="0009240E">
            <w:pPr>
              <w:jc w:val="right"/>
              <w:rPr>
                <w:sz w:val="22"/>
                <w:szCs w:val="22"/>
                <w:lang w:val="en-SG" w:eastAsia="zh-CN"/>
              </w:rPr>
            </w:pPr>
            <w:r>
              <w:rPr>
                <w:sz w:val="22"/>
                <w:szCs w:val="22"/>
                <w:lang w:val="en-SG" w:eastAsia="zh-CN"/>
              </w:rPr>
              <w:t>2006</w:t>
            </w:r>
          </w:p>
        </w:tc>
      </w:tr>
      <w:tr w:rsidR="0009240E" w:rsidTr="00E44982">
        <w:tc>
          <w:tcPr>
            <w:tcW w:w="9576" w:type="dxa"/>
            <w:gridSpan w:val="2"/>
            <w:hideMark/>
          </w:tcPr>
          <w:p w:rsidR="0009240E" w:rsidRDefault="0009240E" w:rsidP="0009240E">
            <w:pPr>
              <w:rPr>
                <w:sz w:val="22"/>
                <w:szCs w:val="22"/>
                <w:lang w:val="en-SG" w:eastAsia="zh-CN"/>
              </w:rPr>
            </w:pPr>
            <w:r>
              <w:rPr>
                <w:i/>
                <w:sz w:val="21"/>
                <w:szCs w:val="21"/>
                <w:lang w:val="en-SG" w:eastAsia="zh-CN"/>
              </w:rPr>
              <w:t>The London School of Economics and Political Science External</w:t>
            </w:r>
            <w:r>
              <w:rPr>
                <w:i/>
                <w:sz w:val="21"/>
                <w:szCs w:val="21"/>
                <w:lang w:val="en-GB" w:eastAsia="zh-CN"/>
              </w:rPr>
              <w:t xml:space="preserve"> Programme</w:t>
            </w:r>
            <w:r>
              <w:rPr>
                <w:i/>
                <w:sz w:val="21"/>
                <w:szCs w:val="21"/>
                <w:lang w:val="en-SG" w:eastAsia="zh-CN"/>
              </w:rPr>
              <w:t>, Singapore Institute of Management</w:t>
            </w:r>
          </w:p>
        </w:tc>
      </w:tr>
    </w:tbl>
    <w:p w:rsidR="0009240E" w:rsidRDefault="0009240E" w:rsidP="0009240E">
      <w:pPr>
        <w:ind w:left="180"/>
        <w:rPr>
          <w:b/>
          <w:caps/>
          <w:sz w:val="18"/>
          <w:szCs w:val="18"/>
        </w:rPr>
      </w:pPr>
    </w:p>
    <w:p w:rsidR="0009240E" w:rsidRPr="0009240E" w:rsidRDefault="0009240E" w:rsidP="0009240E">
      <w:pPr>
        <w:pBdr>
          <w:bottom w:val="single" w:sz="12" w:space="1" w:color="auto"/>
        </w:pBdr>
        <w:rPr>
          <w:b/>
          <w:szCs w:val="20"/>
          <w14:shadow w14:blurRad="50800" w14:dist="38100" w14:dir="2700000" w14:sx="100000" w14:sy="100000" w14:kx="0" w14:ky="0" w14:algn="tl">
            <w14:srgbClr w14:val="000000">
              <w14:alpha w14:val="60000"/>
            </w14:srgbClr>
          </w14:shadow>
        </w:rPr>
      </w:pPr>
      <w:r w:rsidRPr="0009240E">
        <w:rPr>
          <w:b/>
          <w:szCs w:val="20"/>
          <w14:shadow w14:blurRad="50800" w14:dist="38100" w14:dir="2700000" w14:sx="100000" w14:sy="100000" w14:kx="0" w14:ky="0" w14:algn="tl">
            <w14:srgbClr w14:val="000000">
              <w14:alpha w14:val="60000"/>
            </w14:srgbClr>
          </w14:shadow>
        </w:rPr>
        <w:t>SYSTEMS EXPERIENCE</w:t>
      </w:r>
    </w:p>
    <w:tbl>
      <w:tblPr>
        <w:tblW w:w="0" w:type="auto"/>
        <w:tblLook w:val="04A0" w:firstRow="1" w:lastRow="0" w:firstColumn="1" w:lastColumn="0" w:noHBand="0" w:noVBand="1"/>
      </w:tblPr>
      <w:tblGrid>
        <w:gridCol w:w="9360"/>
      </w:tblGrid>
      <w:tr w:rsidR="0009240E" w:rsidTr="0009240E">
        <w:tc>
          <w:tcPr>
            <w:tcW w:w="9756" w:type="dxa"/>
          </w:tcPr>
          <w:p w:rsidR="0009240E" w:rsidRPr="0009240E" w:rsidRDefault="0009240E">
            <w:pPr>
              <w:ind w:left="284"/>
              <w:rPr>
                <w:sz w:val="10"/>
                <w:szCs w:val="12"/>
                <w:lang w:val="en-SG" w:eastAsia="zh-CN"/>
              </w:rPr>
            </w:pPr>
          </w:p>
          <w:p w:rsidR="0009240E" w:rsidRDefault="0009240E" w:rsidP="004C6785">
            <w:pPr>
              <w:numPr>
                <w:ilvl w:val="0"/>
                <w:numId w:val="2"/>
              </w:numPr>
              <w:ind w:left="284" w:hanging="218"/>
              <w:rPr>
                <w:sz w:val="21"/>
                <w:szCs w:val="21"/>
                <w:lang w:val="en-SG" w:eastAsia="zh-CN"/>
              </w:rPr>
            </w:pPr>
            <w:r>
              <w:rPr>
                <w:sz w:val="21"/>
                <w:szCs w:val="21"/>
                <w:lang w:val="en-SG" w:eastAsia="zh-CN"/>
              </w:rPr>
              <w:t>Competent in Microsoft Office and Windows operating systems</w:t>
            </w:r>
          </w:p>
        </w:tc>
      </w:tr>
    </w:tbl>
    <w:p w:rsidR="0009240E" w:rsidRDefault="0009240E" w:rsidP="0009240E">
      <w:pPr>
        <w:rPr>
          <w:b/>
          <w:sz w:val="18"/>
          <w:szCs w:val="18"/>
        </w:rPr>
      </w:pPr>
    </w:p>
    <w:tbl>
      <w:tblPr>
        <w:tblW w:w="0" w:type="auto"/>
        <w:tblLook w:val="04A0" w:firstRow="1" w:lastRow="0" w:firstColumn="1" w:lastColumn="0" w:noHBand="0" w:noVBand="1"/>
      </w:tblPr>
      <w:tblGrid>
        <w:gridCol w:w="9360"/>
      </w:tblGrid>
      <w:tr w:rsidR="0009240E" w:rsidTr="0009240E">
        <w:tc>
          <w:tcPr>
            <w:tcW w:w="9576" w:type="dxa"/>
          </w:tcPr>
          <w:p w:rsidR="0009240E" w:rsidRPr="0009240E" w:rsidRDefault="0009240E">
            <w:pPr>
              <w:pBdr>
                <w:bottom w:val="single" w:sz="12" w:space="1" w:color="auto"/>
              </w:pBdr>
              <w:rPr>
                <w:b/>
                <w:szCs w:val="20"/>
                <w:lang w:val="en-SG" w:eastAsia="zh-CN"/>
                <w14:shadow w14:blurRad="50800" w14:dist="38100" w14:dir="2700000" w14:sx="100000" w14:sy="100000" w14:kx="0" w14:ky="0" w14:algn="tl">
                  <w14:srgbClr w14:val="000000">
                    <w14:alpha w14:val="60000"/>
                  </w14:srgbClr>
                </w14:shadow>
              </w:rPr>
            </w:pPr>
            <w:r w:rsidRPr="0009240E">
              <w:rPr>
                <w:b/>
                <w:szCs w:val="20"/>
                <w:lang w:val="en-SG" w:eastAsia="zh-CN"/>
                <w14:shadow w14:blurRad="50800" w14:dist="38100" w14:dir="2700000" w14:sx="100000" w14:sy="100000" w14:kx="0" w14:ky="0" w14:algn="tl">
                  <w14:srgbClr w14:val="000000">
                    <w14:alpha w14:val="60000"/>
                  </w14:srgbClr>
                </w14:shadow>
              </w:rPr>
              <w:t>OTHER INFORMATION</w:t>
            </w:r>
          </w:p>
          <w:p w:rsidR="0009240E" w:rsidRPr="0009240E" w:rsidRDefault="0009240E">
            <w:pPr>
              <w:rPr>
                <w:caps/>
                <w:sz w:val="10"/>
                <w:szCs w:val="16"/>
                <w:lang w:val="en-SG" w:eastAsia="zh-CN"/>
              </w:rPr>
            </w:pPr>
          </w:p>
          <w:tbl>
            <w:tblPr>
              <w:tblW w:w="9639" w:type="dxa"/>
              <w:tblLook w:val="04A0" w:firstRow="1" w:lastRow="0" w:firstColumn="1" w:lastColumn="0" w:noHBand="0" w:noVBand="1"/>
            </w:tblPr>
            <w:tblGrid>
              <w:gridCol w:w="3686"/>
              <w:gridCol w:w="5953"/>
            </w:tblGrid>
            <w:tr w:rsidR="0009240E">
              <w:tc>
                <w:tcPr>
                  <w:tcW w:w="3686" w:type="dxa"/>
                  <w:hideMark/>
                </w:tcPr>
                <w:p w:rsidR="0009240E" w:rsidRDefault="0009240E">
                  <w:pPr>
                    <w:ind w:left="-108"/>
                    <w:rPr>
                      <w:sz w:val="21"/>
                      <w:szCs w:val="21"/>
                      <w:lang w:val="en-SG" w:eastAsia="zh-CN"/>
                    </w:rPr>
                  </w:pPr>
                  <w:r>
                    <w:rPr>
                      <w:sz w:val="21"/>
                      <w:szCs w:val="21"/>
                      <w:lang w:val="en-SG" w:eastAsia="zh-CN"/>
                    </w:rPr>
                    <w:t>Expected Remuneration</w:t>
                  </w:r>
                </w:p>
              </w:tc>
              <w:tc>
                <w:tcPr>
                  <w:tcW w:w="5953" w:type="dxa"/>
                  <w:hideMark/>
                </w:tcPr>
                <w:p w:rsidR="0009240E" w:rsidRDefault="00855028" w:rsidP="007E56F4">
                  <w:pPr>
                    <w:tabs>
                      <w:tab w:val="right" w:pos="5737"/>
                    </w:tabs>
                    <w:ind w:left="-108"/>
                    <w:rPr>
                      <w:sz w:val="21"/>
                      <w:szCs w:val="21"/>
                      <w:lang w:val="en-SG" w:eastAsia="zh-CN"/>
                    </w:rPr>
                  </w:pPr>
                  <w:r>
                    <w:rPr>
                      <w:sz w:val="21"/>
                      <w:szCs w:val="21"/>
                      <w:lang w:val="en-SG" w:eastAsia="zh-CN"/>
                    </w:rPr>
                    <w:t>: $72,000 - $85</w:t>
                  </w:r>
                  <w:r w:rsidR="0009240E">
                    <w:rPr>
                      <w:sz w:val="21"/>
                      <w:szCs w:val="21"/>
                      <w:lang w:val="en-SG" w:eastAsia="zh-CN"/>
                    </w:rPr>
                    <w:t>,000 per annum (negotiable)</w:t>
                  </w:r>
                  <w:r w:rsidR="0009240E">
                    <w:rPr>
                      <w:sz w:val="21"/>
                      <w:szCs w:val="21"/>
                      <w:lang w:val="en-SG" w:eastAsia="zh-CN"/>
                    </w:rPr>
                    <w:tab/>
                  </w:r>
                </w:p>
              </w:tc>
            </w:tr>
            <w:tr w:rsidR="0009240E" w:rsidTr="001B66D6">
              <w:tc>
                <w:tcPr>
                  <w:tcW w:w="3686" w:type="dxa"/>
                </w:tcPr>
                <w:p w:rsidR="0009240E" w:rsidRDefault="0009240E">
                  <w:pPr>
                    <w:ind w:left="-108"/>
                    <w:rPr>
                      <w:sz w:val="21"/>
                      <w:szCs w:val="21"/>
                      <w:lang w:val="en-SG" w:eastAsia="zh-CN"/>
                    </w:rPr>
                  </w:pPr>
                </w:p>
              </w:tc>
              <w:tc>
                <w:tcPr>
                  <w:tcW w:w="5953" w:type="dxa"/>
                </w:tcPr>
                <w:p w:rsidR="0009240E" w:rsidRDefault="0009240E">
                  <w:pPr>
                    <w:ind w:left="-108"/>
                    <w:rPr>
                      <w:sz w:val="21"/>
                      <w:szCs w:val="21"/>
                      <w:lang w:val="en-SG" w:eastAsia="zh-CN"/>
                    </w:rPr>
                  </w:pPr>
                </w:p>
              </w:tc>
            </w:tr>
          </w:tbl>
          <w:p w:rsidR="0009240E" w:rsidRDefault="0009240E">
            <w:pPr>
              <w:rPr>
                <w:sz w:val="22"/>
                <w:szCs w:val="22"/>
                <w:lang w:val="en-SG" w:eastAsia="zh-CN"/>
              </w:rPr>
            </w:pPr>
          </w:p>
        </w:tc>
      </w:tr>
    </w:tbl>
    <w:p w:rsidR="00B75002" w:rsidRDefault="00B75002" w:rsidP="0009240E"/>
    <w:sectPr w:rsidR="00B75002" w:rsidSect="00C57846">
      <w:pgSz w:w="12240" w:h="15840"/>
      <w:pgMar w:top="1440" w:right="1440" w:bottom="72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679" w:rsidRDefault="001E1679" w:rsidP="0009240E">
      <w:r>
        <w:separator/>
      </w:r>
    </w:p>
  </w:endnote>
  <w:endnote w:type="continuationSeparator" w:id="0">
    <w:p w:rsidR="001E1679" w:rsidRDefault="001E1679" w:rsidP="0009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679" w:rsidRDefault="001E1679" w:rsidP="0009240E">
      <w:r>
        <w:separator/>
      </w:r>
    </w:p>
  </w:footnote>
  <w:footnote w:type="continuationSeparator" w:id="0">
    <w:p w:rsidR="001E1679" w:rsidRDefault="001E1679" w:rsidP="0009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E6BE6"/>
    <w:multiLevelType w:val="hybridMultilevel"/>
    <w:tmpl w:val="B6F2E77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 w15:restartNumberingAfterBreak="0">
    <w:nsid w:val="4BF113C7"/>
    <w:multiLevelType w:val="hybridMultilevel"/>
    <w:tmpl w:val="EBF22EF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5BC60894"/>
    <w:multiLevelType w:val="hybridMultilevel"/>
    <w:tmpl w:val="83EC962A"/>
    <w:lvl w:ilvl="0" w:tplc="48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71314704"/>
    <w:multiLevelType w:val="multilevel"/>
    <w:tmpl w:val="31D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40E"/>
    <w:rsid w:val="0003407A"/>
    <w:rsid w:val="00042B13"/>
    <w:rsid w:val="0009240E"/>
    <w:rsid w:val="00113CD4"/>
    <w:rsid w:val="001171EB"/>
    <w:rsid w:val="00141741"/>
    <w:rsid w:val="001B66D6"/>
    <w:rsid w:val="001E1679"/>
    <w:rsid w:val="002E0700"/>
    <w:rsid w:val="002E1767"/>
    <w:rsid w:val="0040707D"/>
    <w:rsid w:val="004653EF"/>
    <w:rsid w:val="004E3876"/>
    <w:rsid w:val="00651FFA"/>
    <w:rsid w:val="006955B7"/>
    <w:rsid w:val="00697FBA"/>
    <w:rsid w:val="006C05C6"/>
    <w:rsid w:val="006D0D46"/>
    <w:rsid w:val="007A7B75"/>
    <w:rsid w:val="007E56F4"/>
    <w:rsid w:val="00855028"/>
    <w:rsid w:val="008B1619"/>
    <w:rsid w:val="00944A2C"/>
    <w:rsid w:val="00AB11D0"/>
    <w:rsid w:val="00B013FF"/>
    <w:rsid w:val="00B1399B"/>
    <w:rsid w:val="00B30650"/>
    <w:rsid w:val="00B75002"/>
    <w:rsid w:val="00C57846"/>
    <w:rsid w:val="00CD6C52"/>
    <w:rsid w:val="00EA391A"/>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209A"/>
  <w15:docId w15:val="{22C10395-6E16-405E-808B-DD4CA97F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24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40E"/>
    <w:pPr>
      <w:tabs>
        <w:tab w:val="center" w:pos="4680"/>
        <w:tab w:val="right" w:pos="9360"/>
      </w:tabs>
    </w:pPr>
  </w:style>
  <w:style w:type="character" w:customStyle="1" w:styleId="HeaderChar">
    <w:name w:val="Header Char"/>
    <w:basedOn w:val="DefaultParagraphFont"/>
    <w:link w:val="Header"/>
    <w:uiPriority w:val="99"/>
    <w:rsid w:val="000924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240E"/>
    <w:pPr>
      <w:tabs>
        <w:tab w:val="center" w:pos="4680"/>
        <w:tab w:val="right" w:pos="9360"/>
      </w:tabs>
    </w:pPr>
  </w:style>
  <w:style w:type="character" w:customStyle="1" w:styleId="FooterChar">
    <w:name w:val="Footer Char"/>
    <w:basedOn w:val="DefaultParagraphFont"/>
    <w:link w:val="Footer"/>
    <w:uiPriority w:val="99"/>
    <w:rsid w:val="0009240E"/>
    <w:rPr>
      <w:rFonts w:ascii="Times New Roman" w:eastAsia="Times New Roman" w:hAnsi="Times New Roman" w:cs="Times New Roman"/>
      <w:sz w:val="24"/>
      <w:szCs w:val="24"/>
    </w:rPr>
  </w:style>
  <w:style w:type="paragraph" w:styleId="ListParagraph">
    <w:name w:val="List Paragraph"/>
    <w:basedOn w:val="Normal"/>
    <w:uiPriority w:val="34"/>
    <w:qFormat/>
    <w:rsid w:val="006D0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773371">
      <w:bodyDiv w:val="1"/>
      <w:marLeft w:val="0"/>
      <w:marRight w:val="0"/>
      <w:marTop w:val="0"/>
      <w:marBottom w:val="0"/>
      <w:divBdr>
        <w:top w:val="none" w:sz="0" w:space="0" w:color="auto"/>
        <w:left w:val="none" w:sz="0" w:space="0" w:color="auto"/>
        <w:bottom w:val="none" w:sz="0" w:space="0" w:color="auto"/>
        <w:right w:val="none" w:sz="0" w:space="0" w:color="auto"/>
      </w:divBdr>
    </w:div>
    <w:div w:id="1232279059">
      <w:bodyDiv w:val="1"/>
      <w:marLeft w:val="0"/>
      <w:marRight w:val="0"/>
      <w:marTop w:val="0"/>
      <w:marBottom w:val="0"/>
      <w:divBdr>
        <w:top w:val="none" w:sz="0" w:space="0" w:color="auto"/>
        <w:left w:val="none" w:sz="0" w:space="0" w:color="auto"/>
        <w:bottom w:val="none" w:sz="0" w:space="0" w:color="auto"/>
        <w:right w:val="none" w:sz="0" w:space="0" w:color="auto"/>
      </w:divBdr>
    </w:div>
    <w:div w:id="19269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E61C2-289A-427F-9BC0-7CE33A19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Hanafi Mohd Sam</dc:creator>
  <cp:lastModifiedBy>The Chans</cp:lastModifiedBy>
  <cp:revision>4</cp:revision>
  <dcterms:created xsi:type="dcterms:W3CDTF">2017-05-03T05:06:00Z</dcterms:created>
  <dcterms:modified xsi:type="dcterms:W3CDTF">2017-05-03T05:19:00Z</dcterms:modified>
</cp:coreProperties>
</file>