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6C9" w:rsidRPr="00EE3011" w:rsidRDefault="007D6722" w:rsidP="00F22BAB">
      <w:pPr>
        <w:pStyle w:val="Header"/>
        <w:spacing w:before="120"/>
        <w:rPr>
          <w:rFonts w:ascii="Arial" w:hAnsi="Arial" w:cs="Arial"/>
          <w:bCs/>
          <w:color w:val="7F7F7F" w:themeColor="text1" w:themeTint="80"/>
          <w:sz w:val="20"/>
          <w:szCs w:val="20"/>
        </w:rPr>
      </w:pPr>
      <w:proofErr w:type="gramStart"/>
      <w:r>
        <w:rPr>
          <w:rFonts w:ascii="Arial" w:hAnsi="Arial" w:cs="Arial"/>
          <w:bCs/>
          <w:color w:val="7F7F7F" w:themeColor="text1" w:themeTint="80"/>
          <w:sz w:val="20"/>
          <w:szCs w:val="20"/>
        </w:rPr>
        <w:t>Dedicated accounting</w:t>
      </w:r>
      <w:r w:rsidR="00E76ADC">
        <w:rPr>
          <w:rFonts w:ascii="Arial" w:hAnsi="Arial" w:cs="Arial"/>
          <w:bCs/>
          <w:color w:val="7F7F7F" w:themeColor="text1" w:themeTint="80"/>
          <w:sz w:val="20"/>
          <w:szCs w:val="20"/>
        </w:rPr>
        <w:t xml:space="preserve"> and finance</w:t>
      </w:r>
      <w:r w:rsidR="003606C9" w:rsidRPr="00EE3011">
        <w:rPr>
          <w:rFonts w:ascii="Arial" w:hAnsi="Arial" w:cs="Arial"/>
          <w:bCs/>
          <w:color w:val="7F7F7F" w:themeColor="text1" w:themeTint="80"/>
          <w:sz w:val="20"/>
          <w:szCs w:val="20"/>
        </w:rPr>
        <w:t xml:space="preserve"> professional with </w:t>
      </w:r>
      <w:r w:rsidR="0024687D">
        <w:rPr>
          <w:rFonts w:ascii="Arial" w:hAnsi="Arial" w:cs="Arial"/>
          <w:bCs/>
          <w:color w:val="7F7F7F" w:themeColor="text1" w:themeTint="80"/>
          <w:sz w:val="20"/>
          <w:szCs w:val="20"/>
        </w:rPr>
        <w:t xml:space="preserve">more than </w:t>
      </w:r>
      <w:r w:rsidR="00F2678D">
        <w:rPr>
          <w:rFonts w:ascii="Arial" w:hAnsi="Arial" w:cs="Arial"/>
          <w:bCs/>
          <w:color w:val="7F7F7F" w:themeColor="text1" w:themeTint="80"/>
          <w:sz w:val="20"/>
          <w:szCs w:val="20"/>
        </w:rPr>
        <w:t>7</w:t>
      </w:r>
      <w:r w:rsidR="002A36E9">
        <w:rPr>
          <w:rFonts w:ascii="Arial" w:hAnsi="Arial" w:cs="Arial"/>
          <w:bCs/>
          <w:color w:val="7F7F7F" w:themeColor="text1" w:themeTint="80"/>
          <w:sz w:val="20"/>
          <w:szCs w:val="20"/>
        </w:rPr>
        <w:t xml:space="preserve"> years’</w:t>
      </w:r>
      <w:r>
        <w:rPr>
          <w:rFonts w:ascii="Arial" w:hAnsi="Arial" w:cs="Arial"/>
          <w:bCs/>
          <w:color w:val="7F7F7F" w:themeColor="text1" w:themeTint="80"/>
          <w:sz w:val="20"/>
          <w:szCs w:val="20"/>
        </w:rPr>
        <w:t xml:space="preserve"> </w:t>
      </w:r>
      <w:r w:rsidR="00043203" w:rsidRPr="00EE3011">
        <w:rPr>
          <w:rFonts w:ascii="Arial" w:hAnsi="Arial" w:cs="Arial"/>
          <w:bCs/>
          <w:color w:val="7F7F7F" w:themeColor="text1" w:themeTint="80"/>
          <w:sz w:val="20"/>
          <w:szCs w:val="20"/>
        </w:rPr>
        <w:t>experience</w:t>
      </w:r>
      <w:r w:rsidR="00B55B3A">
        <w:rPr>
          <w:rFonts w:ascii="Arial" w:hAnsi="Arial" w:cs="Arial"/>
          <w:bCs/>
          <w:color w:val="7F7F7F" w:themeColor="text1" w:themeTint="80"/>
          <w:sz w:val="20"/>
          <w:szCs w:val="20"/>
        </w:rPr>
        <w:t xml:space="preserve"> </w:t>
      </w:r>
      <w:r w:rsidR="00E76ADC">
        <w:rPr>
          <w:rFonts w:ascii="Arial" w:hAnsi="Arial" w:cs="Arial"/>
          <w:bCs/>
          <w:color w:val="7F7F7F" w:themeColor="text1" w:themeTint="80"/>
          <w:sz w:val="20"/>
          <w:szCs w:val="20"/>
        </w:rPr>
        <w:t xml:space="preserve">in </w:t>
      </w:r>
      <w:r>
        <w:rPr>
          <w:rFonts w:ascii="Arial" w:hAnsi="Arial" w:cs="Arial"/>
          <w:bCs/>
          <w:color w:val="7F7F7F" w:themeColor="text1" w:themeTint="80"/>
          <w:sz w:val="20"/>
          <w:szCs w:val="20"/>
        </w:rPr>
        <w:t>multinational</w:t>
      </w:r>
      <w:r w:rsidR="002A36E9">
        <w:rPr>
          <w:rFonts w:ascii="Arial" w:hAnsi="Arial" w:cs="Arial"/>
          <w:bCs/>
          <w:color w:val="7F7F7F" w:themeColor="text1" w:themeTint="80"/>
          <w:sz w:val="20"/>
          <w:szCs w:val="20"/>
        </w:rPr>
        <w:t xml:space="preserve"> corporations</w:t>
      </w:r>
      <w:r w:rsidR="00694494">
        <w:rPr>
          <w:rFonts w:ascii="Arial" w:hAnsi="Arial" w:cs="Arial"/>
          <w:bCs/>
          <w:color w:val="7F7F7F" w:themeColor="text1" w:themeTint="80"/>
          <w:sz w:val="20"/>
          <w:szCs w:val="20"/>
        </w:rPr>
        <w:t xml:space="preserve"> and SMEs</w:t>
      </w:r>
      <w:r w:rsidR="002A36E9">
        <w:rPr>
          <w:rFonts w:ascii="Arial" w:hAnsi="Arial" w:cs="Arial"/>
          <w:bCs/>
          <w:color w:val="7F7F7F" w:themeColor="text1" w:themeTint="80"/>
          <w:sz w:val="20"/>
          <w:szCs w:val="20"/>
        </w:rPr>
        <w:t xml:space="preserve"> across various industries.</w:t>
      </w:r>
      <w:proofErr w:type="gramEnd"/>
      <w:r w:rsidR="002A36E9">
        <w:rPr>
          <w:rFonts w:ascii="Arial" w:hAnsi="Arial" w:cs="Arial"/>
          <w:bCs/>
          <w:color w:val="7F7F7F" w:themeColor="text1" w:themeTint="80"/>
          <w:sz w:val="20"/>
          <w:szCs w:val="20"/>
        </w:rPr>
        <w:t xml:space="preserve"> Conscientious and flexible </w:t>
      </w:r>
      <w:r w:rsidR="00AF128B">
        <w:rPr>
          <w:rFonts w:ascii="Arial" w:hAnsi="Arial" w:cs="Arial"/>
          <w:bCs/>
          <w:color w:val="7F7F7F" w:themeColor="text1" w:themeTint="80"/>
          <w:sz w:val="20"/>
          <w:szCs w:val="20"/>
        </w:rPr>
        <w:t xml:space="preserve">self-start </w:t>
      </w:r>
      <w:r w:rsidR="00E76ADC">
        <w:rPr>
          <w:rFonts w:ascii="Arial" w:hAnsi="Arial" w:cs="Arial"/>
          <w:bCs/>
          <w:color w:val="7F7F7F" w:themeColor="text1" w:themeTint="80"/>
          <w:sz w:val="20"/>
          <w:szCs w:val="20"/>
        </w:rPr>
        <w:t>with excellent analytical and</w:t>
      </w:r>
      <w:r w:rsidR="00E76ADC" w:rsidRPr="00E76ADC">
        <w:rPr>
          <w:rFonts w:ascii="Arial" w:hAnsi="Arial" w:cs="Arial"/>
          <w:bCs/>
          <w:color w:val="7F7F7F" w:themeColor="text1" w:themeTint="80"/>
          <w:sz w:val="20"/>
          <w:szCs w:val="20"/>
        </w:rPr>
        <w:t xml:space="preserve"> </w:t>
      </w:r>
      <w:r w:rsidR="00E76ADC">
        <w:rPr>
          <w:rFonts w:ascii="Arial" w:hAnsi="Arial" w:cs="Arial"/>
          <w:bCs/>
          <w:color w:val="7F7F7F" w:themeColor="text1" w:themeTint="80"/>
          <w:sz w:val="20"/>
          <w:szCs w:val="20"/>
        </w:rPr>
        <w:t>problem-solving</w:t>
      </w:r>
      <w:r w:rsidR="00E76ADC" w:rsidRPr="00E76ADC">
        <w:rPr>
          <w:rFonts w:ascii="Arial" w:hAnsi="Arial" w:cs="Arial"/>
          <w:bCs/>
          <w:color w:val="7F7F7F" w:themeColor="text1" w:themeTint="80"/>
          <w:sz w:val="20"/>
          <w:szCs w:val="20"/>
        </w:rPr>
        <w:t xml:space="preserve"> </w:t>
      </w:r>
      <w:r w:rsidR="002A36E9" w:rsidRPr="00E76ADC">
        <w:rPr>
          <w:rFonts w:ascii="Arial" w:hAnsi="Arial" w:cs="Arial"/>
          <w:bCs/>
          <w:color w:val="7F7F7F" w:themeColor="text1" w:themeTint="80"/>
          <w:sz w:val="20"/>
          <w:szCs w:val="20"/>
        </w:rPr>
        <w:t>skills</w:t>
      </w:r>
      <w:r w:rsidR="00607B29">
        <w:rPr>
          <w:rFonts w:ascii="Arial" w:hAnsi="Arial" w:cs="Arial"/>
          <w:bCs/>
          <w:color w:val="7F7F7F" w:themeColor="text1" w:themeTint="80"/>
          <w:sz w:val="20"/>
          <w:szCs w:val="20"/>
        </w:rPr>
        <w:t>; A</w:t>
      </w:r>
      <w:r>
        <w:rPr>
          <w:rFonts w:ascii="Arial" w:hAnsi="Arial" w:cs="Arial"/>
          <w:bCs/>
          <w:color w:val="7F7F7F" w:themeColor="text1" w:themeTint="80"/>
          <w:sz w:val="20"/>
          <w:szCs w:val="20"/>
        </w:rPr>
        <w:t>reas</w:t>
      </w:r>
      <w:r w:rsidR="00E76ADC">
        <w:rPr>
          <w:rFonts w:ascii="Arial" w:hAnsi="Arial" w:cs="Arial"/>
          <w:bCs/>
          <w:color w:val="7F7F7F" w:themeColor="text1" w:themeTint="80"/>
          <w:sz w:val="20"/>
          <w:szCs w:val="20"/>
        </w:rPr>
        <w:t xml:space="preserve"> of c</w:t>
      </w:r>
      <w:r w:rsidR="003606C9" w:rsidRPr="00EE3011">
        <w:rPr>
          <w:rFonts w:ascii="Arial" w:hAnsi="Arial" w:cs="Arial"/>
          <w:bCs/>
          <w:color w:val="7F7F7F" w:themeColor="text1" w:themeTint="80"/>
          <w:sz w:val="20"/>
          <w:szCs w:val="20"/>
        </w:rPr>
        <w:t xml:space="preserve">ore competencies </w:t>
      </w:r>
      <w:r w:rsidR="00E76ADC">
        <w:rPr>
          <w:rFonts w:ascii="Arial" w:hAnsi="Arial" w:cs="Arial"/>
          <w:bCs/>
          <w:color w:val="7F7F7F" w:themeColor="text1" w:themeTint="80"/>
          <w:sz w:val="20"/>
          <w:szCs w:val="20"/>
        </w:rPr>
        <w:t>include</w:t>
      </w:r>
      <w:r w:rsidR="003606C9" w:rsidRPr="00EE3011">
        <w:rPr>
          <w:rFonts w:ascii="Arial" w:hAnsi="Arial" w:cs="Arial"/>
          <w:bCs/>
          <w:color w:val="7F7F7F" w:themeColor="text1" w:themeTint="80"/>
          <w:sz w:val="20"/>
          <w:szCs w:val="20"/>
        </w:rPr>
        <w:t>:</w:t>
      </w:r>
    </w:p>
    <w:p w:rsidR="003606C9" w:rsidRPr="00EE3011" w:rsidRDefault="00F2678D" w:rsidP="00F22BAB">
      <w:pPr>
        <w:pStyle w:val="Header"/>
        <w:pBdr>
          <w:bottom w:val="single" w:sz="4" w:space="5" w:color="auto"/>
        </w:pBdr>
        <w:spacing w:before="120" w:after="120"/>
        <w:jc w:val="center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• Statutory compliance</w:t>
      </w:r>
      <w:r w:rsidR="008F5DCF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</w:t>
      </w:r>
      <w:r w:rsidR="003606C9" w:rsidRPr="00EE3011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• </w:t>
      </w:r>
      <w: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Special audit and assurance service</w:t>
      </w:r>
      <w:r w:rsidR="00466EBD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</w:t>
      </w:r>
      <w:r w:rsidR="008F5DCF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</w:t>
      </w:r>
      <w:r w:rsidR="001B703F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</w:t>
      </w:r>
      <w:r w:rsidR="00DA1D07" w:rsidRPr="00EE3011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•</w:t>
      </w:r>
      <w:r w:rsidR="00EF4B42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China practice </w:t>
      </w:r>
    </w:p>
    <w:p w:rsidR="003606C9" w:rsidRDefault="003606C9" w:rsidP="00F22BAB">
      <w:pPr>
        <w:widowControl w:val="0"/>
        <w:tabs>
          <w:tab w:val="left" w:pos="3818"/>
        </w:tabs>
        <w:autoSpaceDE w:val="0"/>
        <w:autoSpaceDN w:val="0"/>
        <w:adjustRightInd w:val="0"/>
        <w:spacing w:before="120" w:after="240"/>
        <w:jc w:val="both"/>
        <w:rPr>
          <w:rFonts w:ascii="Arial" w:hAnsi="Arial" w:cs="Arial"/>
          <w:b/>
          <w:bCs/>
          <w:color w:val="000000" w:themeColor="text1"/>
          <w:szCs w:val="20"/>
        </w:rPr>
      </w:pPr>
      <w:r w:rsidRPr="00EE3011">
        <w:rPr>
          <w:rFonts w:ascii="Arial" w:hAnsi="Arial" w:cs="Arial"/>
          <w:b/>
          <w:bCs/>
          <w:color w:val="000000" w:themeColor="text1"/>
          <w:szCs w:val="20"/>
        </w:rPr>
        <w:t>PERSONAL PARTICULARS</w:t>
      </w:r>
      <w:r w:rsidR="00F22BAB" w:rsidRPr="00EE3011">
        <w:rPr>
          <w:rFonts w:ascii="Arial" w:hAnsi="Arial" w:cs="Arial"/>
          <w:b/>
          <w:bCs/>
          <w:color w:val="000000" w:themeColor="text1"/>
          <w:szCs w:val="20"/>
        </w:rPr>
        <w:tab/>
      </w:r>
    </w:p>
    <w:tbl>
      <w:tblPr>
        <w:tblStyle w:val="TableGrid"/>
        <w:tblW w:w="16646" w:type="dxa"/>
        <w:tblLayout w:type="fixed"/>
        <w:tblLook w:val="04A0"/>
      </w:tblPr>
      <w:tblGrid>
        <w:gridCol w:w="1950"/>
        <w:gridCol w:w="3120"/>
        <w:gridCol w:w="1984"/>
        <w:gridCol w:w="2410"/>
        <w:gridCol w:w="2394"/>
        <w:gridCol w:w="2394"/>
        <w:gridCol w:w="2394"/>
      </w:tblGrid>
      <w:tr w:rsidR="00C5793C" w:rsidTr="001533CF"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793C" w:rsidRPr="00EE3011" w:rsidRDefault="00C5793C" w:rsidP="00C5793C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3011">
              <w:rPr>
                <w:rFonts w:ascii="Arial" w:hAnsi="Arial" w:cs="Arial"/>
                <w:b/>
                <w:bCs/>
                <w:sz w:val="20"/>
                <w:szCs w:val="20"/>
              </w:rPr>
              <w:t>NAME:</w:t>
            </w:r>
            <w:r w:rsidRPr="00EE3011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793C" w:rsidRPr="00EE3011" w:rsidRDefault="00C5793C" w:rsidP="001533CF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E3011">
              <w:rPr>
                <w:rFonts w:ascii="Arial" w:hAnsi="Arial" w:cs="Arial"/>
                <w:bCs/>
                <w:sz w:val="20"/>
                <w:szCs w:val="20"/>
              </w:rPr>
              <w:t xml:space="preserve">Jeff </w:t>
            </w:r>
            <w:proofErr w:type="spellStart"/>
            <w:r w:rsidRPr="00EE3011">
              <w:rPr>
                <w:rFonts w:ascii="Arial" w:hAnsi="Arial" w:cs="Arial"/>
                <w:bCs/>
                <w:sz w:val="20"/>
                <w:szCs w:val="20"/>
              </w:rPr>
              <w:t>Ge</w:t>
            </w:r>
            <w:proofErr w:type="spellEnd"/>
            <w:r w:rsidRPr="00EE3011">
              <w:rPr>
                <w:rFonts w:ascii="Arial" w:hAnsi="Arial" w:cs="Arial"/>
                <w:bCs/>
                <w:sz w:val="20"/>
                <w:szCs w:val="20"/>
              </w:rPr>
              <w:t xml:space="preserve"> Chen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793C" w:rsidRPr="00EE3011" w:rsidRDefault="00C5793C" w:rsidP="001533CF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3011">
              <w:rPr>
                <w:rFonts w:ascii="Arial" w:hAnsi="Arial" w:cs="Arial"/>
                <w:b/>
                <w:bCs/>
                <w:sz w:val="20"/>
                <w:szCs w:val="20"/>
              </w:rPr>
              <w:t>RACE: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793C" w:rsidRPr="00EE3011" w:rsidRDefault="00C5793C" w:rsidP="001533CF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E3011">
              <w:rPr>
                <w:rFonts w:ascii="Arial" w:hAnsi="Arial" w:cs="Arial"/>
                <w:bCs/>
                <w:sz w:val="20"/>
                <w:szCs w:val="20"/>
              </w:rPr>
              <w:t>Chinese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C5793C" w:rsidRDefault="00C5793C" w:rsidP="00C5793C">
            <w:pPr>
              <w:widowControl w:val="0"/>
              <w:tabs>
                <w:tab w:val="left" w:pos="3818"/>
              </w:tabs>
              <w:autoSpaceDE w:val="0"/>
              <w:autoSpaceDN w:val="0"/>
              <w:adjustRightInd w:val="0"/>
              <w:spacing w:before="120" w:after="240"/>
              <w:contextualSpacing/>
              <w:jc w:val="both"/>
              <w:rPr>
                <w:rFonts w:ascii="Arial" w:hAnsi="Arial"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2394" w:type="dxa"/>
            <w:tcBorders>
              <w:left w:val="nil"/>
            </w:tcBorders>
          </w:tcPr>
          <w:p w:rsidR="00C5793C" w:rsidRDefault="00C5793C" w:rsidP="00C5793C">
            <w:pPr>
              <w:widowControl w:val="0"/>
              <w:tabs>
                <w:tab w:val="left" w:pos="3818"/>
              </w:tabs>
              <w:autoSpaceDE w:val="0"/>
              <w:autoSpaceDN w:val="0"/>
              <w:adjustRightInd w:val="0"/>
              <w:spacing w:before="120" w:after="240"/>
              <w:contextualSpacing/>
              <w:jc w:val="both"/>
              <w:rPr>
                <w:rFonts w:ascii="Arial" w:hAnsi="Arial"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2394" w:type="dxa"/>
          </w:tcPr>
          <w:p w:rsidR="00C5793C" w:rsidRDefault="00C5793C" w:rsidP="00C5793C">
            <w:pPr>
              <w:widowControl w:val="0"/>
              <w:tabs>
                <w:tab w:val="left" w:pos="3818"/>
              </w:tabs>
              <w:autoSpaceDE w:val="0"/>
              <w:autoSpaceDN w:val="0"/>
              <w:adjustRightInd w:val="0"/>
              <w:spacing w:before="120" w:after="240"/>
              <w:contextualSpacing/>
              <w:jc w:val="both"/>
              <w:rPr>
                <w:rFonts w:ascii="Arial" w:hAnsi="Arial" w:cs="Arial"/>
                <w:b/>
                <w:bCs/>
                <w:color w:val="000000" w:themeColor="text1"/>
                <w:szCs w:val="20"/>
              </w:rPr>
            </w:pPr>
          </w:p>
        </w:tc>
      </w:tr>
      <w:tr w:rsidR="00C5793C" w:rsidTr="001533CF"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793C" w:rsidRPr="00EE3011" w:rsidRDefault="00C5793C" w:rsidP="00C5793C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3011">
              <w:rPr>
                <w:rFonts w:ascii="Arial" w:hAnsi="Arial" w:cs="Arial"/>
                <w:b/>
                <w:bCs/>
                <w:sz w:val="20"/>
                <w:szCs w:val="20"/>
              </w:rPr>
              <w:t>NRIC: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793C" w:rsidRPr="00EE3011" w:rsidRDefault="00C5793C" w:rsidP="001533CF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E3011">
              <w:rPr>
                <w:rFonts w:ascii="Arial" w:hAnsi="Arial" w:cs="Arial"/>
                <w:bCs/>
                <w:sz w:val="20"/>
                <w:szCs w:val="20"/>
              </w:rPr>
              <w:t>S8773509E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793C" w:rsidRPr="00EE3011" w:rsidRDefault="00C5793C" w:rsidP="001533CF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3011">
              <w:rPr>
                <w:rFonts w:ascii="Arial" w:hAnsi="Arial" w:cs="Arial"/>
                <w:b/>
                <w:bCs/>
                <w:sz w:val="20"/>
                <w:szCs w:val="20"/>
              </w:rPr>
              <w:t>LANGUAGE: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793C" w:rsidRPr="00EE3011" w:rsidRDefault="00C5793C" w:rsidP="001533CF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E3011">
              <w:rPr>
                <w:rFonts w:ascii="Arial" w:hAnsi="Arial" w:cs="Arial"/>
                <w:bCs/>
                <w:sz w:val="20"/>
                <w:szCs w:val="20"/>
              </w:rPr>
              <w:t>English and Chinese (both written &amp; oral)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C5793C" w:rsidRDefault="00C5793C" w:rsidP="00C5793C">
            <w:pPr>
              <w:widowControl w:val="0"/>
              <w:tabs>
                <w:tab w:val="left" w:pos="3818"/>
              </w:tabs>
              <w:autoSpaceDE w:val="0"/>
              <w:autoSpaceDN w:val="0"/>
              <w:adjustRightInd w:val="0"/>
              <w:spacing w:before="120" w:after="240"/>
              <w:contextualSpacing/>
              <w:jc w:val="both"/>
              <w:rPr>
                <w:rFonts w:ascii="Arial" w:hAnsi="Arial"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2394" w:type="dxa"/>
            <w:tcBorders>
              <w:left w:val="nil"/>
            </w:tcBorders>
          </w:tcPr>
          <w:p w:rsidR="00C5793C" w:rsidRDefault="00C5793C" w:rsidP="00C5793C">
            <w:pPr>
              <w:widowControl w:val="0"/>
              <w:tabs>
                <w:tab w:val="left" w:pos="3818"/>
              </w:tabs>
              <w:autoSpaceDE w:val="0"/>
              <w:autoSpaceDN w:val="0"/>
              <w:adjustRightInd w:val="0"/>
              <w:spacing w:before="120" w:after="240"/>
              <w:contextualSpacing/>
              <w:jc w:val="both"/>
              <w:rPr>
                <w:rFonts w:ascii="Arial" w:hAnsi="Arial"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2394" w:type="dxa"/>
          </w:tcPr>
          <w:p w:rsidR="00C5793C" w:rsidRDefault="00C5793C" w:rsidP="00C5793C">
            <w:pPr>
              <w:widowControl w:val="0"/>
              <w:tabs>
                <w:tab w:val="left" w:pos="3818"/>
              </w:tabs>
              <w:autoSpaceDE w:val="0"/>
              <w:autoSpaceDN w:val="0"/>
              <w:adjustRightInd w:val="0"/>
              <w:spacing w:before="120" w:after="240"/>
              <w:contextualSpacing/>
              <w:jc w:val="both"/>
              <w:rPr>
                <w:rFonts w:ascii="Arial" w:hAnsi="Arial" w:cs="Arial"/>
                <w:b/>
                <w:bCs/>
                <w:color w:val="000000" w:themeColor="text1"/>
                <w:szCs w:val="20"/>
              </w:rPr>
            </w:pPr>
          </w:p>
        </w:tc>
      </w:tr>
      <w:tr w:rsidR="00C5793C" w:rsidTr="001533CF"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793C" w:rsidRPr="00EE3011" w:rsidRDefault="00C5793C" w:rsidP="00C5793C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3011">
              <w:rPr>
                <w:rFonts w:ascii="Arial" w:hAnsi="Arial" w:cs="Arial"/>
                <w:b/>
                <w:bCs/>
                <w:sz w:val="20"/>
                <w:szCs w:val="20"/>
              </w:rPr>
              <w:t>GENDER: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793C" w:rsidRPr="00EE3011" w:rsidRDefault="00C5793C" w:rsidP="001533CF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E3011">
              <w:rPr>
                <w:rFonts w:ascii="Arial" w:hAnsi="Arial" w:cs="Arial"/>
                <w:bCs/>
                <w:sz w:val="20"/>
                <w:szCs w:val="20"/>
              </w:rPr>
              <w:t>Male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793C" w:rsidRPr="00EE3011" w:rsidRDefault="00C5793C" w:rsidP="001533CF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3011">
              <w:rPr>
                <w:rFonts w:ascii="Arial" w:hAnsi="Arial" w:cs="Arial"/>
                <w:b/>
                <w:bCs/>
                <w:sz w:val="20"/>
                <w:szCs w:val="20"/>
              </w:rPr>
              <w:t>EMAIL: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793C" w:rsidRPr="00EE3011" w:rsidRDefault="00DA7D7A" w:rsidP="001533CF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hyperlink r:id="rId8" w:history="1">
              <w:r w:rsidR="00C5793C" w:rsidRPr="00EE3011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gechen312@yahoo.com</w:t>
              </w:r>
            </w:hyperlink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C5793C" w:rsidRDefault="00C5793C" w:rsidP="00C5793C">
            <w:pPr>
              <w:widowControl w:val="0"/>
              <w:tabs>
                <w:tab w:val="left" w:pos="3818"/>
              </w:tabs>
              <w:autoSpaceDE w:val="0"/>
              <w:autoSpaceDN w:val="0"/>
              <w:adjustRightInd w:val="0"/>
              <w:spacing w:before="120" w:after="240"/>
              <w:contextualSpacing/>
              <w:jc w:val="both"/>
              <w:rPr>
                <w:rFonts w:ascii="Arial" w:hAnsi="Arial"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2394" w:type="dxa"/>
            <w:tcBorders>
              <w:left w:val="nil"/>
            </w:tcBorders>
          </w:tcPr>
          <w:p w:rsidR="00C5793C" w:rsidRDefault="00C5793C" w:rsidP="00C5793C">
            <w:pPr>
              <w:widowControl w:val="0"/>
              <w:tabs>
                <w:tab w:val="left" w:pos="3818"/>
              </w:tabs>
              <w:autoSpaceDE w:val="0"/>
              <w:autoSpaceDN w:val="0"/>
              <w:adjustRightInd w:val="0"/>
              <w:spacing w:before="120" w:after="240"/>
              <w:contextualSpacing/>
              <w:jc w:val="both"/>
              <w:rPr>
                <w:rFonts w:ascii="Arial" w:hAnsi="Arial"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2394" w:type="dxa"/>
          </w:tcPr>
          <w:p w:rsidR="00C5793C" w:rsidRDefault="00C5793C" w:rsidP="00C5793C">
            <w:pPr>
              <w:widowControl w:val="0"/>
              <w:tabs>
                <w:tab w:val="left" w:pos="3818"/>
              </w:tabs>
              <w:autoSpaceDE w:val="0"/>
              <w:autoSpaceDN w:val="0"/>
              <w:adjustRightInd w:val="0"/>
              <w:spacing w:before="120" w:after="240"/>
              <w:contextualSpacing/>
              <w:jc w:val="both"/>
              <w:rPr>
                <w:rFonts w:ascii="Arial" w:hAnsi="Arial" w:cs="Arial"/>
                <w:b/>
                <w:bCs/>
                <w:color w:val="000000" w:themeColor="text1"/>
                <w:szCs w:val="20"/>
              </w:rPr>
            </w:pPr>
          </w:p>
        </w:tc>
      </w:tr>
      <w:tr w:rsidR="00C5793C" w:rsidTr="001533CF"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793C" w:rsidRPr="00EE3011" w:rsidRDefault="00C5793C" w:rsidP="00C5793C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301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BIRTHDAY:                     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793C" w:rsidRPr="00EE3011" w:rsidRDefault="00C5793C" w:rsidP="001533CF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E3011">
              <w:rPr>
                <w:rFonts w:ascii="Arial" w:hAnsi="Arial" w:cs="Arial"/>
                <w:bCs/>
                <w:sz w:val="20"/>
                <w:szCs w:val="20"/>
              </w:rPr>
              <w:t>18 August 1987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793C" w:rsidRPr="00EE3011" w:rsidRDefault="00C5793C" w:rsidP="001533CF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3011">
              <w:rPr>
                <w:rFonts w:ascii="Arial" w:hAnsi="Arial" w:cs="Arial"/>
                <w:b/>
                <w:bCs/>
                <w:sz w:val="20"/>
                <w:szCs w:val="20"/>
              </w:rPr>
              <w:t>CONTACT No.: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793C" w:rsidRPr="00EE3011" w:rsidRDefault="00C5793C" w:rsidP="001533CF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E3011">
              <w:rPr>
                <w:rFonts w:ascii="Arial" w:hAnsi="Arial" w:cs="Arial"/>
                <w:bCs/>
                <w:sz w:val="20"/>
                <w:szCs w:val="20"/>
              </w:rPr>
              <w:t>+65 8201 2958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C5793C" w:rsidRDefault="00C5793C" w:rsidP="00C5793C">
            <w:pPr>
              <w:widowControl w:val="0"/>
              <w:tabs>
                <w:tab w:val="left" w:pos="3818"/>
              </w:tabs>
              <w:autoSpaceDE w:val="0"/>
              <w:autoSpaceDN w:val="0"/>
              <w:adjustRightInd w:val="0"/>
              <w:spacing w:before="120" w:after="240"/>
              <w:contextualSpacing/>
              <w:jc w:val="both"/>
              <w:rPr>
                <w:rFonts w:ascii="Arial" w:hAnsi="Arial"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2394" w:type="dxa"/>
            <w:tcBorders>
              <w:left w:val="nil"/>
            </w:tcBorders>
          </w:tcPr>
          <w:p w:rsidR="00C5793C" w:rsidRDefault="00C5793C" w:rsidP="00C5793C">
            <w:pPr>
              <w:widowControl w:val="0"/>
              <w:tabs>
                <w:tab w:val="left" w:pos="3818"/>
              </w:tabs>
              <w:autoSpaceDE w:val="0"/>
              <w:autoSpaceDN w:val="0"/>
              <w:adjustRightInd w:val="0"/>
              <w:spacing w:before="120" w:after="240"/>
              <w:contextualSpacing/>
              <w:jc w:val="both"/>
              <w:rPr>
                <w:rFonts w:ascii="Arial" w:hAnsi="Arial"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2394" w:type="dxa"/>
          </w:tcPr>
          <w:p w:rsidR="00C5793C" w:rsidRDefault="00C5793C" w:rsidP="00C5793C">
            <w:pPr>
              <w:widowControl w:val="0"/>
              <w:tabs>
                <w:tab w:val="left" w:pos="3818"/>
              </w:tabs>
              <w:autoSpaceDE w:val="0"/>
              <w:autoSpaceDN w:val="0"/>
              <w:adjustRightInd w:val="0"/>
              <w:spacing w:before="120" w:after="240"/>
              <w:contextualSpacing/>
              <w:jc w:val="both"/>
              <w:rPr>
                <w:rFonts w:ascii="Arial" w:hAnsi="Arial" w:cs="Arial"/>
                <w:b/>
                <w:bCs/>
                <w:color w:val="000000" w:themeColor="text1"/>
                <w:szCs w:val="20"/>
              </w:rPr>
            </w:pPr>
          </w:p>
        </w:tc>
      </w:tr>
      <w:tr w:rsidR="00C5793C" w:rsidTr="001533CF"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793C" w:rsidRPr="00EE3011" w:rsidRDefault="00C5793C" w:rsidP="00C5793C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301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NATIONALITY:      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793C" w:rsidRPr="00EE3011" w:rsidRDefault="00C5793C" w:rsidP="001533CF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E3011">
              <w:rPr>
                <w:rFonts w:ascii="Arial" w:hAnsi="Arial" w:cs="Arial"/>
                <w:bCs/>
                <w:sz w:val="20"/>
                <w:szCs w:val="20"/>
              </w:rPr>
              <w:t>Singaporean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793C" w:rsidRPr="00EE3011" w:rsidRDefault="00C5793C" w:rsidP="001533CF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3011">
              <w:rPr>
                <w:rFonts w:ascii="Arial" w:hAnsi="Arial" w:cs="Arial"/>
                <w:b/>
                <w:bCs/>
                <w:sz w:val="20"/>
                <w:szCs w:val="20"/>
              </w:rPr>
              <w:t>ADDRESS: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793C" w:rsidRPr="00EE3011" w:rsidRDefault="00C5793C" w:rsidP="001533CF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BLK 435</w:t>
            </w:r>
            <w:r w:rsidRPr="00EE301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Bishan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Street 22</w:t>
            </w:r>
            <w:r w:rsidRPr="00EE3011">
              <w:rPr>
                <w:rFonts w:ascii="Arial" w:hAnsi="Arial" w:cs="Arial"/>
                <w:bCs/>
                <w:sz w:val="20"/>
                <w:szCs w:val="20"/>
              </w:rPr>
              <w:t>, #0</w:t>
            </w:r>
            <w:r>
              <w:rPr>
                <w:rFonts w:ascii="Arial" w:hAnsi="Arial" w:cs="Arial"/>
                <w:bCs/>
                <w:sz w:val="20"/>
                <w:szCs w:val="20"/>
              </w:rPr>
              <w:t>4-148</w:t>
            </w:r>
            <w:r w:rsidRPr="00EE3011">
              <w:rPr>
                <w:rFonts w:ascii="Arial" w:hAnsi="Arial" w:cs="Arial"/>
                <w:bCs/>
                <w:sz w:val="20"/>
                <w:szCs w:val="20"/>
              </w:rPr>
              <w:t>, 787057.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C5793C" w:rsidRDefault="00C5793C" w:rsidP="00C5793C">
            <w:pPr>
              <w:widowControl w:val="0"/>
              <w:tabs>
                <w:tab w:val="left" w:pos="3818"/>
              </w:tabs>
              <w:autoSpaceDE w:val="0"/>
              <w:autoSpaceDN w:val="0"/>
              <w:adjustRightInd w:val="0"/>
              <w:spacing w:before="120" w:after="240"/>
              <w:contextualSpacing/>
              <w:jc w:val="both"/>
              <w:rPr>
                <w:rFonts w:ascii="Arial" w:hAnsi="Arial"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2394" w:type="dxa"/>
            <w:tcBorders>
              <w:left w:val="nil"/>
            </w:tcBorders>
          </w:tcPr>
          <w:p w:rsidR="00C5793C" w:rsidRDefault="00C5793C" w:rsidP="00C5793C">
            <w:pPr>
              <w:widowControl w:val="0"/>
              <w:tabs>
                <w:tab w:val="left" w:pos="3818"/>
              </w:tabs>
              <w:autoSpaceDE w:val="0"/>
              <w:autoSpaceDN w:val="0"/>
              <w:adjustRightInd w:val="0"/>
              <w:spacing w:before="120" w:after="240"/>
              <w:contextualSpacing/>
              <w:jc w:val="both"/>
              <w:rPr>
                <w:rFonts w:ascii="Arial" w:hAnsi="Arial"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2394" w:type="dxa"/>
          </w:tcPr>
          <w:p w:rsidR="00C5793C" w:rsidRDefault="00C5793C" w:rsidP="00C5793C">
            <w:pPr>
              <w:widowControl w:val="0"/>
              <w:tabs>
                <w:tab w:val="left" w:pos="3818"/>
              </w:tabs>
              <w:autoSpaceDE w:val="0"/>
              <w:autoSpaceDN w:val="0"/>
              <w:adjustRightInd w:val="0"/>
              <w:spacing w:before="120" w:after="240"/>
              <w:contextualSpacing/>
              <w:jc w:val="both"/>
              <w:rPr>
                <w:rFonts w:ascii="Arial" w:hAnsi="Arial" w:cs="Arial"/>
                <w:b/>
                <w:bCs/>
                <w:color w:val="000000" w:themeColor="text1"/>
                <w:szCs w:val="20"/>
              </w:rPr>
            </w:pPr>
          </w:p>
        </w:tc>
      </w:tr>
      <w:tr w:rsidR="00C5793C" w:rsidTr="001533CF"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793C" w:rsidRPr="00EE3011" w:rsidRDefault="00C5793C" w:rsidP="00C5793C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3011">
              <w:rPr>
                <w:rFonts w:ascii="Arial" w:hAnsi="Arial" w:cs="Arial"/>
                <w:b/>
                <w:bCs/>
                <w:sz w:val="20"/>
                <w:szCs w:val="20"/>
              </w:rPr>
              <w:t>ACADEMIC QUALIFICATION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793C" w:rsidRPr="009717F3" w:rsidRDefault="00C5793C" w:rsidP="001533CF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Member of </w:t>
            </w:r>
            <w:r w:rsidRPr="009717F3">
              <w:rPr>
                <w:rFonts w:ascii="Arial" w:hAnsi="Arial" w:cs="Arial"/>
                <w:bCs/>
                <w:sz w:val="20"/>
                <w:szCs w:val="20"/>
              </w:rPr>
              <w:t>Association of Chartered Certified Accountants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(“ACCA”</w:t>
            </w:r>
            <w:r w:rsidRPr="009717F3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  <w:p w:rsidR="00C5793C" w:rsidRDefault="00C5793C" w:rsidP="001533CF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9717F3">
              <w:rPr>
                <w:rFonts w:ascii="Arial" w:hAnsi="Arial" w:cs="Arial"/>
                <w:bCs/>
                <w:sz w:val="20"/>
                <w:szCs w:val="20"/>
              </w:rPr>
              <w:t>Accredited Tax Practitioner (Income Tax)</w:t>
            </w:r>
          </w:p>
          <w:p w:rsidR="00C5793C" w:rsidRPr="009717F3" w:rsidRDefault="00C5793C" w:rsidP="001533CF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EE3011">
              <w:rPr>
                <w:rFonts w:ascii="Arial" w:hAnsi="Arial" w:cs="Arial"/>
                <w:bCs/>
                <w:sz w:val="20"/>
                <w:szCs w:val="20"/>
              </w:rPr>
              <w:t>B</w:t>
            </w:r>
            <w:r>
              <w:rPr>
                <w:rFonts w:ascii="Arial" w:hAnsi="Arial" w:cs="Arial"/>
                <w:bCs/>
                <w:sz w:val="20"/>
                <w:szCs w:val="20"/>
              </w:rPr>
              <w:t>S</w:t>
            </w:r>
            <w:r w:rsidRPr="00EE3011">
              <w:rPr>
                <w:rFonts w:ascii="Arial" w:hAnsi="Arial" w:cs="Arial"/>
                <w:bCs/>
                <w:sz w:val="20"/>
                <w:szCs w:val="20"/>
              </w:rPr>
              <w:t>c</w:t>
            </w:r>
            <w:proofErr w:type="spellEnd"/>
            <w:r w:rsidRPr="00EE3011">
              <w:rPr>
                <w:rFonts w:ascii="Arial" w:hAnsi="Arial" w:cs="Arial"/>
                <w:bCs/>
                <w:sz w:val="20"/>
                <w:szCs w:val="20"/>
              </w:rPr>
              <w:t xml:space="preserve"> in Accounting and Finance, University of London</w:t>
            </w:r>
          </w:p>
          <w:p w:rsidR="00C5793C" w:rsidRPr="00EE3011" w:rsidRDefault="00C5793C" w:rsidP="001533CF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793C" w:rsidRPr="00EE3011" w:rsidRDefault="00C5793C" w:rsidP="001533CF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793C" w:rsidRPr="00EE3011" w:rsidRDefault="00C5793C" w:rsidP="001533CF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:rsidR="00C5793C" w:rsidRDefault="00C5793C" w:rsidP="00C5793C">
            <w:pPr>
              <w:widowControl w:val="0"/>
              <w:tabs>
                <w:tab w:val="left" w:pos="3818"/>
              </w:tabs>
              <w:autoSpaceDE w:val="0"/>
              <w:autoSpaceDN w:val="0"/>
              <w:adjustRightInd w:val="0"/>
              <w:spacing w:before="120" w:after="240"/>
              <w:contextualSpacing/>
              <w:jc w:val="both"/>
              <w:rPr>
                <w:rFonts w:ascii="Arial" w:hAnsi="Arial"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2394" w:type="dxa"/>
            <w:tcBorders>
              <w:left w:val="nil"/>
            </w:tcBorders>
          </w:tcPr>
          <w:p w:rsidR="00C5793C" w:rsidRDefault="00C5793C" w:rsidP="00C5793C">
            <w:pPr>
              <w:widowControl w:val="0"/>
              <w:tabs>
                <w:tab w:val="left" w:pos="3818"/>
              </w:tabs>
              <w:autoSpaceDE w:val="0"/>
              <w:autoSpaceDN w:val="0"/>
              <w:adjustRightInd w:val="0"/>
              <w:spacing w:before="120" w:after="240"/>
              <w:contextualSpacing/>
              <w:jc w:val="both"/>
              <w:rPr>
                <w:rFonts w:ascii="Arial" w:hAnsi="Arial"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2394" w:type="dxa"/>
          </w:tcPr>
          <w:p w:rsidR="00C5793C" w:rsidRDefault="00C5793C" w:rsidP="00C5793C">
            <w:pPr>
              <w:widowControl w:val="0"/>
              <w:tabs>
                <w:tab w:val="left" w:pos="3818"/>
              </w:tabs>
              <w:autoSpaceDE w:val="0"/>
              <w:autoSpaceDN w:val="0"/>
              <w:adjustRightInd w:val="0"/>
              <w:spacing w:before="120" w:after="240"/>
              <w:contextualSpacing/>
              <w:jc w:val="both"/>
              <w:rPr>
                <w:rFonts w:ascii="Arial" w:hAnsi="Arial" w:cs="Arial"/>
                <w:b/>
                <w:bCs/>
                <w:color w:val="000000" w:themeColor="text1"/>
                <w:szCs w:val="20"/>
              </w:rPr>
            </w:pPr>
          </w:p>
        </w:tc>
      </w:tr>
    </w:tbl>
    <w:p w:rsidR="003606C9" w:rsidRDefault="003606C9" w:rsidP="00EE3011">
      <w:pPr>
        <w:widowControl w:val="0"/>
        <w:pBdr>
          <w:top w:val="single" w:sz="4" w:space="8" w:color="auto"/>
        </w:pBdr>
        <w:autoSpaceDE w:val="0"/>
        <w:autoSpaceDN w:val="0"/>
        <w:adjustRightInd w:val="0"/>
        <w:spacing w:before="360"/>
        <w:jc w:val="both"/>
        <w:rPr>
          <w:rFonts w:ascii="Arial" w:hAnsi="Arial" w:cs="Arial"/>
          <w:b/>
          <w:bCs/>
          <w:color w:val="000000" w:themeColor="text1"/>
          <w:szCs w:val="20"/>
        </w:rPr>
      </w:pPr>
      <w:r w:rsidRPr="00EE3011">
        <w:rPr>
          <w:rFonts w:ascii="Arial" w:hAnsi="Arial" w:cs="Arial"/>
          <w:b/>
          <w:bCs/>
          <w:color w:val="000000" w:themeColor="text1"/>
          <w:szCs w:val="20"/>
        </w:rPr>
        <w:t>PROFESSIONAL EXPERIENCE</w:t>
      </w:r>
    </w:p>
    <w:p w:rsidR="006D5427" w:rsidRDefault="006D5427" w:rsidP="006D5427">
      <w:pPr>
        <w:ind w:left="3600" w:hanging="3600"/>
        <w:jc w:val="both"/>
        <w:rPr>
          <w:rFonts w:ascii="Arial" w:hAnsi="Arial"/>
          <w:b/>
          <w:bCs/>
          <w:sz w:val="22"/>
        </w:rPr>
      </w:pPr>
    </w:p>
    <w:p w:rsidR="006D5427" w:rsidRPr="002159C8" w:rsidRDefault="00C5793C" w:rsidP="006D5427">
      <w:pPr>
        <w:ind w:left="3600" w:hanging="3600"/>
        <w:jc w:val="both"/>
        <w:rPr>
          <w:rFonts w:ascii="Arial" w:hAnsi="Arial" w:cs="Arial"/>
          <w:b/>
          <w:bCs/>
          <w:sz w:val="22"/>
          <w:szCs w:val="20"/>
          <w:u w:val="single"/>
        </w:rPr>
      </w:pPr>
      <w:r w:rsidRPr="002159C8">
        <w:rPr>
          <w:rFonts w:ascii="Arial" w:hAnsi="Arial"/>
          <w:b/>
          <w:bCs/>
          <w:sz w:val="22"/>
        </w:rPr>
        <w:t>A</w:t>
      </w:r>
      <w:r>
        <w:rPr>
          <w:rFonts w:ascii="Arial" w:hAnsi="Arial"/>
          <w:b/>
          <w:bCs/>
          <w:sz w:val="22"/>
        </w:rPr>
        <w:t xml:space="preserve">udit </w:t>
      </w:r>
      <w:r w:rsidRPr="002159C8">
        <w:rPr>
          <w:rFonts w:ascii="Arial" w:hAnsi="Arial"/>
          <w:b/>
          <w:bCs/>
          <w:sz w:val="22"/>
        </w:rPr>
        <w:t>Manager</w:t>
      </w:r>
      <w:r w:rsidR="006D5427" w:rsidRPr="002159C8">
        <w:rPr>
          <w:rFonts w:ascii="Arial" w:hAnsi="Arial"/>
          <w:b/>
          <w:bCs/>
          <w:sz w:val="22"/>
        </w:rPr>
        <w:t xml:space="preserve"> </w:t>
      </w:r>
      <w:r w:rsidR="006D5427" w:rsidRPr="002159C8">
        <w:rPr>
          <w:rFonts w:ascii="Arial" w:hAnsi="Arial" w:cs="Arial"/>
          <w:sz w:val="22"/>
          <w:szCs w:val="20"/>
        </w:rPr>
        <w:t>│</w:t>
      </w:r>
      <w:r w:rsidR="006D5427" w:rsidRPr="002159C8">
        <w:rPr>
          <w:rFonts w:ascii="Arial" w:hAnsi="Arial" w:cs="Arial"/>
          <w:b/>
          <w:sz w:val="22"/>
          <w:szCs w:val="20"/>
        </w:rPr>
        <w:t xml:space="preserve"> </w:t>
      </w:r>
      <w:r w:rsidR="006D5427" w:rsidRPr="002159C8">
        <w:rPr>
          <w:rFonts w:ascii="Arial" w:hAnsi="Arial"/>
          <w:bCs/>
          <w:i/>
          <w:sz w:val="22"/>
        </w:rPr>
        <w:t>Dec 20</w:t>
      </w:r>
      <w:r w:rsidR="006D5427">
        <w:rPr>
          <w:rFonts w:ascii="Arial" w:hAnsi="Arial"/>
          <w:bCs/>
          <w:i/>
          <w:sz w:val="22"/>
        </w:rPr>
        <w:t>15 –</w:t>
      </w:r>
      <w:r w:rsidR="006D5427" w:rsidRPr="002159C8">
        <w:rPr>
          <w:rFonts w:ascii="Arial" w:hAnsi="Arial"/>
          <w:bCs/>
          <w:i/>
          <w:sz w:val="22"/>
        </w:rPr>
        <w:t xml:space="preserve"> </w:t>
      </w:r>
      <w:r w:rsidR="006D5427">
        <w:rPr>
          <w:rFonts w:ascii="Arial" w:hAnsi="Arial"/>
          <w:bCs/>
          <w:i/>
          <w:sz w:val="22"/>
        </w:rPr>
        <w:t>Present</w:t>
      </w:r>
    </w:p>
    <w:p w:rsidR="006D5427" w:rsidRPr="006D5427" w:rsidRDefault="006D5427" w:rsidP="006D5427">
      <w:pPr>
        <w:pStyle w:val="Heading4"/>
        <w:ind w:left="2694" w:hanging="2694"/>
        <w:jc w:val="both"/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t xml:space="preserve">RSM </w:t>
      </w:r>
      <w:proofErr w:type="spellStart"/>
      <w:r>
        <w:rPr>
          <w:rFonts w:ascii="Arial" w:hAnsi="Arial" w:cs="Arial"/>
          <w:b/>
          <w:sz w:val="22"/>
          <w:szCs w:val="20"/>
        </w:rPr>
        <w:t>Chio</w:t>
      </w:r>
      <w:proofErr w:type="spellEnd"/>
      <w:r>
        <w:rPr>
          <w:rFonts w:ascii="Arial" w:hAnsi="Arial" w:cs="Arial"/>
          <w:b/>
          <w:sz w:val="22"/>
          <w:szCs w:val="20"/>
        </w:rPr>
        <w:t xml:space="preserve"> Lim LLP</w:t>
      </w:r>
    </w:p>
    <w:p w:rsidR="006D5427" w:rsidRDefault="006D5427" w:rsidP="006D5427">
      <w:pPr>
        <w:widowControl w:val="0"/>
        <w:pBdr>
          <w:top w:val="single" w:sz="4" w:space="8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6D5427">
        <w:rPr>
          <w:rFonts w:ascii="Arial" w:hAnsi="Arial" w:cs="Arial"/>
          <w:bCs/>
          <w:color w:val="000000" w:themeColor="text1"/>
          <w:sz w:val="20"/>
          <w:szCs w:val="20"/>
        </w:rPr>
        <w:t>Manage a portfolio of clientele which include listed company, MNCs and SMEs i</w:t>
      </w:r>
      <w:r w:rsidR="003E69FF">
        <w:rPr>
          <w:rFonts w:ascii="Arial" w:hAnsi="Arial" w:cs="Arial"/>
          <w:bCs/>
          <w:color w:val="000000" w:themeColor="text1"/>
          <w:sz w:val="20"/>
          <w:szCs w:val="20"/>
        </w:rPr>
        <w:t>n various industries including C</w:t>
      </w:r>
      <w:r w:rsidR="003E69FF" w:rsidRPr="006D5427">
        <w:rPr>
          <w:rFonts w:ascii="Arial" w:hAnsi="Arial" w:cs="Arial"/>
          <w:bCs/>
          <w:color w:val="000000" w:themeColor="text1"/>
          <w:sz w:val="20"/>
          <w:szCs w:val="20"/>
        </w:rPr>
        <w:t>ommodity</w:t>
      </w:r>
      <w:r w:rsidR="003E69FF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Pr="006D5427">
        <w:rPr>
          <w:rFonts w:ascii="Arial" w:hAnsi="Arial" w:cs="Arial"/>
          <w:bCs/>
          <w:color w:val="000000" w:themeColor="text1"/>
          <w:sz w:val="20"/>
          <w:szCs w:val="20"/>
        </w:rPr>
        <w:t>trading</w:t>
      </w:r>
      <w:r w:rsidR="003E69FF">
        <w:rPr>
          <w:rFonts w:ascii="Arial" w:hAnsi="Arial" w:cs="Arial"/>
          <w:bCs/>
          <w:color w:val="000000" w:themeColor="text1"/>
          <w:sz w:val="20"/>
          <w:szCs w:val="20"/>
        </w:rPr>
        <w:t xml:space="preserve"> (oil &amp; gas</w:t>
      </w:r>
      <w:r w:rsidR="00B26FFE">
        <w:rPr>
          <w:rFonts w:ascii="Arial" w:hAnsi="Arial" w:cs="Arial"/>
          <w:bCs/>
          <w:color w:val="000000" w:themeColor="text1"/>
          <w:sz w:val="20"/>
          <w:szCs w:val="20"/>
        </w:rPr>
        <w:t xml:space="preserve">, </w:t>
      </w:r>
      <w:r w:rsidR="007B233A">
        <w:rPr>
          <w:rFonts w:ascii="Arial" w:hAnsi="Arial" w:cs="Arial"/>
          <w:bCs/>
          <w:color w:val="000000" w:themeColor="text1"/>
          <w:sz w:val="20"/>
          <w:szCs w:val="20"/>
        </w:rPr>
        <w:t xml:space="preserve">agriculture, </w:t>
      </w:r>
      <w:r w:rsidR="002929D7">
        <w:rPr>
          <w:rFonts w:ascii="Arial" w:hAnsi="Arial" w:cs="Arial"/>
          <w:bCs/>
          <w:color w:val="000000" w:themeColor="text1"/>
          <w:sz w:val="20"/>
          <w:szCs w:val="20"/>
        </w:rPr>
        <w:t xml:space="preserve">iron ore, metals </w:t>
      </w:r>
      <w:r w:rsidR="00B26FFE">
        <w:rPr>
          <w:rFonts w:ascii="Arial" w:hAnsi="Arial" w:cs="Arial"/>
          <w:bCs/>
          <w:color w:val="000000" w:themeColor="text1"/>
          <w:sz w:val="20"/>
          <w:szCs w:val="20"/>
        </w:rPr>
        <w:t>and chemicals)</w:t>
      </w:r>
      <w:r w:rsidRPr="006D5427">
        <w:rPr>
          <w:rFonts w:ascii="Arial" w:hAnsi="Arial" w:cs="Arial"/>
          <w:bCs/>
          <w:color w:val="000000" w:themeColor="text1"/>
          <w:sz w:val="20"/>
          <w:szCs w:val="20"/>
        </w:rPr>
        <w:t xml:space="preserve">, </w:t>
      </w:r>
      <w:r w:rsidR="003E69FF">
        <w:rPr>
          <w:rFonts w:ascii="Arial" w:hAnsi="Arial" w:cs="Arial"/>
          <w:bCs/>
          <w:color w:val="000000" w:themeColor="text1"/>
          <w:sz w:val="20"/>
          <w:szCs w:val="20"/>
        </w:rPr>
        <w:t>G</w:t>
      </w:r>
      <w:r w:rsidR="00E32B37">
        <w:rPr>
          <w:rFonts w:ascii="Arial" w:hAnsi="Arial" w:cs="Arial"/>
          <w:bCs/>
          <w:color w:val="000000" w:themeColor="text1"/>
          <w:sz w:val="20"/>
          <w:szCs w:val="20"/>
        </w:rPr>
        <w:t xml:space="preserve">eneral trading, </w:t>
      </w:r>
      <w:r w:rsidR="003E69FF">
        <w:rPr>
          <w:rFonts w:ascii="Arial" w:hAnsi="Arial" w:cs="Arial"/>
          <w:bCs/>
          <w:color w:val="000000" w:themeColor="text1"/>
          <w:sz w:val="20"/>
          <w:szCs w:val="20"/>
        </w:rPr>
        <w:t>I</w:t>
      </w:r>
      <w:r w:rsidR="00B12818">
        <w:rPr>
          <w:rFonts w:ascii="Arial" w:hAnsi="Arial" w:cs="Arial"/>
          <w:bCs/>
          <w:color w:val="000000" w:themeColor="text1"/>
          <w:sz w:val="20"/>
          <w:szCs w:val="20"/>
        </w:rPr>
        <w:t xml:space="preserve">nvestment holding, </w:t>
      </w:r>
      <w:r w:rsidR="003E69FF">
        <w:rPr>
          <w:rFonts w:ascii="Arial" w:hAnsi="Arial" w:cs="Arial"/>
          <w:bCs/>
          <w:color w:val="000000" w:themeColor="text1"/>
          <w:sz w:val="20"/>
          <w:szCs w:val="20"/>
        </w:rPr>
        <w:t>M</w:t>
      </w:r>
      <w:r w:rsidR="00E32B37">
        <w:rPr>
          <w:rFonts w:ascii="Arial" w:hAnsi="Arial" w:cs="Arial"/>
          <w:bCs/>
          <w:color w:val="000000" w:themeColor="text1"/>
          <w:sz w:val="20"/>
          <w:szCs w:val="20"/>
        </w:rPr>
        <w:t xml:space="preserve">aritime </w:t>
      </w:r>
      <w:r w:rsidR="003E69FF">
        <w:rPr>
          <w:rFonts w:ascii="Arial" w:hAnsi="Arial" w:cs="Arial"/>
          <w:bCs/>
          <w:color w:val="000000" w:themeColor="text1"/>
          <w:sz w:val="20"/>
          <w:szCs w:val="20"/>
        </w:rPr>
        <w:t>, En</w:t>
      </w:r>
      <w:r w:rsidR="00821E72">
        <w:rPr>
          <w:rFonts w:ascii="Arial" w:hAnsi="Arial" w:cs="Arial"/>
          <w:bCs/>
          <w:color w:val="000000" w:themeColor="text1"/>
          <w:sz w:val="20"/>
          <w:szCs w:val="20"/>
        </w:rPr>
        <w:t xml:space="preserve">gineering and construction, </w:t>
      </w:r>
      <w:r w:rsidR="003E69FF">
        <w:rPr>
          <w:rFonts w:ascii="Arial" w:hAnsi="Arial" w:cs="Arial"/>
          <w:bCs/>
          <w:color w:val="000000" w:themeColor="text1"/>
          <w:sz w:val="20"/>
          <w:szCs w:val="20"/>
        </w:rPr>
        <w:t>I</w:t>
      </w:r>
      <w:r w:rsidR="00E32B37">
        <w:rPr>
          <w:rFonts w:ascii="Arial" w:hAnsi="Arial" w:cs="Arial"/>
          <w:bCs/>
          <w:color w:val="000000" w:themeColor="text1"/>
          <w:sz w:val="20"/>
          <w:szCs w:val="20"/>
        </w:rPr>
        <w:t xml:space="preserve">nterior design, </w:t>
      </w:r>
      <w:r w:rsidR="003E69FF">
        <w:rPr>
          <w:rFonts w:ascii="Arial" w:hAnsi="Arial" w:cs="Arial"/>
          <w:bCs/>
          <w:color w:val="000000" w:themeColor="text1"/>
          <w:sz w:val="20"/>
          <w:szCs w:val="20"/>
        </w:rPr>
        <w:t>M</w:t>
      </w:r>
      <w:r w:rsidR="00821E72">
        <w:rPr>
          <w:rFonts w:ascii="Arial" w:hAnsi="Arial" w:cs="Arial"/>
          <w:bCs/>
          <w:color w:val="000000" w:themeColor="text1"/>
          <w:sz w:val="20"/>
          <w:szCs w:val="20"/>
        </w:rPr>
        <w:t xml:space="preserve">anufacturing </w:t>
      </w:r>
      <w:r w:rsidRPr="006D5427">
        <w:rPr>
          <w:rFonts w:ascii="Arial" w:hAnsi="Arial" w:cs="Arial"/>
          <w:bCs/>
          <w:color w:val="000000" w:themeColor="text1"/>
          <w:sz w:val="20"/>
          <w:szCs w:val="20"/>
        </w:rPr>
        <w:t>etc.</w:t>
      </w:r>
      <w:r w:rsidR="006634E4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</w:p>
    <w:p w:rsidR="00C5793C" w:rsidRPr="006D5427" w:rsidRDefault="00C5793C" w:rsidP="006D5427">
      <w:pPr>
        <w:widowControl w:val="0"/>
        <w:pBdr>
          <w:top w:val="single" w:sz="4" w:space="8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</w:p>
    <w:p w:rsidR="00774056" w:rsidRDefault="00694494" w:rsidP="006D5427">
      <w:pPr>
        <w:widowControl w:val="0"/>
        <w:pBdr>
          <w:top w:val="single" w:sz="4" w:space="8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>Job scope</w:t>
      </w:r>
      <w:r w:rsidR="006D5427" w:rsidRPr="006D5427">
        <w:rPr>
          <w:rFonts w:ascii="Arial" w:hAnsi="Arial" w:cs="Arial"/>
          <w:bCs/>
          <w:color w:val="000000" w:themeColor="text1"/>
          <w:sz w:val="20"/>
          <w:szCs w:val="20"/>
        </w:rPr>
        <w:t xml:space="preserve"> include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s</w:t>
      </w:r>
      <w:r w:rsidR="006D5427" w:rsidRPr="006D5427">
        <w:rPr>
          <w:rFonts w:ascii="Arial" w:hAnsi="Arial" w:cs="Arial"/>
          <w:bCs/>
          <w:color w:val="000000" w:themeColor="text1"/>
          <w:sz w:val="20"/>
          <w:szCs w:val="20"/>
        </w:rPr>
        <w:t>:</w:t>
      </w:r>
    </w:p>
    <w:p w:rsidR="00D92413" w:rsidRDefault="00DF2F5E" w:rsidP="00D92413">
      <w:pPr>
        <w:numPr>
          <w:ilvl w:val="0"/>
          <w:numId w:val="1"/>
        </w:numPr>
        <w:shd w:val="clear" w:color="auto" w:fill="FFFFFF"/>
        <w:tabs>
          <w:tab w:val="num" w:pos="0"/>
        </w:tabs>
        <w:ind w:left="709" w:hanging="283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Provide China practice service </w:t>
      </w:r>
      <w:r w:rsidR="00D92413">
        <w:rPr>
          <w:rFonts w:ascii="Arial" w:hAnsi="Arial" w:cs="Arial"/>
          <w:color w:val="000000"/>
          <w:sz w:val="20"/>
          <w:szCs w:val="20"/>
        </w:rPr>
        <w:t xml:space="preserve">for Chinese business expand internationally </w:t>
      </w:r>
    </w:p>
    <w:p w:rsidR="00D92413" w:rsidRDefault="00D92413" w:rsidP="00D92413">
      <w:pPr>
        <w:pStyle w:val="ListParagraph"/>
        <w:numPr>
          <w:ilvl w:val="0"/>
          <w:numId w:val="14"/>
        </w:num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Statutory compliance</w:t>
      </w:r>
    </w:p>
    <w:p w:rsidR="00D92413" w:rsidRDefault="00D92413" w:rsidP="00D92413">
      <w:pPr>
        <w:pStyle w:val="ListParagraph"/>
        <w:numPr>
          <w:ilvl w:val="0"/>
          <w:numId w:val="14"/>
        </w:num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Linking to professionals and business partners</w:t>
      </w:r>
    </w:p>
    <w:p w:rsidR="00C5793C" w:rsidRPr="00D92413" w:rsidRDefault="00C5793C" w:rsidP="00D92413">
      <w:pPr>
        <w:pStyle w:val="ListParagraph"/>
        <w:numPr>
          <w:ilvl w:val="0"/>
          <w:numId w:val="14"/>
        </w:num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Financial reporting </w:t>
      </w:r>
    </w:p>
    <w:p w:rsidR="00AE5415" w:rsidRPr="00AE5415" w:rsidRDefault="006634E4" w:rsidP="00AE5415">
      <w:pPr>
        <w:numPr>
          <w:ilvl w:val="0"/>
          <w:numId w:val="1"/>
        </w:numPr>
        <w:shd w:val="clear" w:color="auto" w:fill="FFFFFF"/>
        <w:tabs>
          <w:tab w:val="num" w:pos="0"/>
        </w:tabs>
        <w:ind w:left="709" w:hanging="283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Planning and manage project economics from budgeting through to reporting</w:t>
      </w:r>
    </w:p>
    <w:p w:rsidR="00AE5415" w:rsidRPr="00AE5415" w:rsidRDefault="00AE5415" w:rsidP="00AE5415">
      <w:pPr>
        <w:numPr>
          <w:ilvl w:val="0"/>
          <w:numId w:val="1"/>
        </w:numPr>
        <w:shd w:val="clear" w:color="auto" w:fill="FFFFFF"/>
        <w:tabs>
          <w:tab w:val="num" w:pos="0"/>
        </w:tabs>
        <w:ind w:left="709" w:hanging="283"/>
        <w:jc w:val="both"/>
        <w:rPr>
          <w:rFonts w:ascii="Arial" w:hAnsi="Arial" w:cs="Arial"/>
          <w:color w:val="000000"/>
          <w:sz w:val="20"/>
          <w:szCs w:val="20"/>
        </w:rPr>
      </w:pPr>
      <w:r w:rsidRPr="00AE5415">
        <w:rPr>
          <w:rFonts w:ascii="Arial" w:hAnsi="Arial" w:cs="Arial"/>
          <w:color w:val="000000"/>
          <w:sz w:val="20"/>
          <w:szCs w:val="20"/>
        </w:rPr>
        <w:t xml:space="preserve">Directing and coaching </w:t>
      </w:r>
      <w:r>
        <w:rPr>
          <w:rFonts w:ascii="Arial" w:hAnsi="Arial" w:cs="Arial"/>
          <w:color w:val="000000"/>
          <w:sz w:val="20"/>
          <w:szCs w:val="20"/>
        </w:rPr>
        <w:t xml:space="preserve">a group of </w:t>
      </w:r>
      <w:r w:rsidRPr="00AE5415">
        <w:rPr>
          <w:rFonts w:ascii="Arial" w:hAnsi="Arial" w:cs="Arial"/>
          <w:color w:val="000000"/>
          <w:sz w:val="20"/>
          <w:szCs w:val="20"/>
        </w:rPr>
        <w:t>junior team members</w:t>
      </w:r>
    </w:p>
    <w:p w:rsidR="00DF2F5E" w:rsidRDefault="00DF2F5E" w:rsidP="00DF2F5E">
      <w:pPr>
        <w:numPr>
          <w:ilvl w:val="0"/>
          <w:numId w:val="1"/>
        </w:numPr>
        <w:shd w:val="clear" w:color="auto" w:fill="FFFFFF"/>
        <w:tabs>
          <w:tab w:val="num" w:pos="0"/>
        </w:tabs>
        <w:ind w:left="709" w:hanging="283"/>
        <w:jc w:val="both"/>
        <w:rPr>
          <w:rFonts w:ascii="Arial" w:hAnsi="Arial" w:cs="Arial"/>
          <w:color w:val="000000"/>
          <w:sz w:val="20"/>
          <w:szCs w:val="20"/>
        </w:rPr>
      </w:pPr>
      <w:r w:rsidRPr="006D5427">
        <w:rPr>
          <w:rFonts w:ascii="Arial" w:hAnsi="Arial" w:cs="Arial"/>
          <w:color w:val="000000"/>
          <w:sz w:val="20"/>
          <w:szCs w:val="20"/>
        </w:rPr>
        <w:t>Statutory audit and other assurance</w:t>
      </w:r>
      <w:r>
        <w:rPr>
          <w:rFonts w:ascii="Arial" w:hAnsi="Arial" w:cs="Arial"/>
          <w:color w:val="000000"/>
          <w:sz w:val="20"/>
          <w:szCs w:val="20"/>
        </w:rPr>
        <w:t xml:space="preserve"> service </w:t>
      </w:r>
    </w:p>
    <w:p w:rsidR="00DF2F5E" w:rsidRDefault="00DF2F5E" w:rsidP="00DF2F5E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DF2F5E">
        <w:rPr>
          <w:rFonts w:ascii="Arial" w:hAnsi="Arial" w:cs="Arial"/>
          <w:color w:val="000000"/>
          <w:sz w:val="20"/>
          <w:szCs w:val="20"/>
        </w:rPr>
        <w:t xml:space="preserve">Coordinating with various specialists (e.g. Tax, IT, corporate secretary and valuation) </w:t>
      </w:r>
    </w:p>
    <w:p w:rsidR="00DF2F5E" w:rsidRPr="00DF2F5E" w:rsidRDefault="00DF2F5E" w:rsidP="00DF2F5E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DF2F5E">
        <w:rPr>
          <w:rFonts w:ascii="Arial" w:hAnsi="Arial" w:cs="Arial"/>
          <w:color w:val="000000"/>
          <w:sz w:val="20"/>
          <w:szCs w:val="20"/>
        </w:rPr>
        <w:t xml:space="preserve">Provide </w:t>
      </w:r>
      <w:r>
        <w:rPr>
          <w:rFonts w:ascii="Arial" w:hAnsi="Arial" w:cs="Arial"/>
          <w:color w:val="000000"/>
          <w:sz w:val="20"/>
          <w:szCs w:val="20"/>
        </w:rPr>
        <w:t>guidance to team member and r</w:t>
      </w:r>
      <w:r w:rsidRPr="00DF2F5E">
        <w:rPr>
          <w:rFonts w:ascii="Arial" w:hAnsi="Arial" w:cs="Arial"/>
          <w:color w:val="000000"/>
          <w:sz w:val="20"/>
          <w:szCs w:val="20"/>
        </w:rPr>
        <w:t xml:space="preserve">eviewing audit process for each assignment </w:t>
      </w:r>
    </w:p>
    <w:p w:rsidR="006D5427" w:rsidRPr="00DF2F5E" w:rsidRDefault="006D5427" w:rsidP="00DF2F5E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DF2F5E">
        <w:rPr>
          <w:rFonts w:ascii="Arial" w:hAnsi="Arial" w:cs="Arial"/>
          <w:color w:val="000000"/>
          <w:sz w:val="20"/>
          <w:szCs w:val="20"/>
        </w:rPr>
        <w:t>Review financial state</w:t>
      </w:r>
      <w:r w:rsidR="00AE5415" w:rsidRPr="00DF2F5E">
        <w:rPr>
          <w:rFonts w:ascii="Arial" w:hAnsi="Arial" w:cs="Arial"/>
          <w:color w:val="000000"/>
          <w:sz w:val="20"/>
          <w:szCs w:val="20"/>
        </w:rPr>
        <w:t>ments and consolidated accounts</w:t>
      </w:r>
      <w:r w:rsidR="00DF2F5E">
        <w:rPr>
          <w:rFonts w:ascii="Arial" w:hAnsi="Arial" w:cs="Arial"/>
          <w:color w:val="000000"/>
          <w:sz w:val="20"/>
          <w:szCs w:val="20"/>
        </w:rPr>
        <w:t xml:space="preserve"> or other deliverables</w:t>
      </w:r>
      <w:r w:rsidRPr="00DF2F5E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D5427" w:rsidRDefault="006D5427" w:rsidP="00DF2F5E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DF2F5E">
        <w:rPr>
          <w:rFonts w:ascii="Arial" w:hAnsi="Arial" w:cs="Arial"/>
          <w:color w:val="000000"/>
          <w:sz w:val="20"/>
          <w:szCs w:val="20"/>
        </w:rPr>
        <w:t xml:space="preserve">Provide </w:t>
      </w:r>
      <w:r w:rsidR="00AE5415" w:rsidRPr="00DF2F5E">
        <w:rPr>
          <w:rFonts w:ascii="Arial" w:hAnsi="Arial" w:cs="Arial"/>
          <w:color w:val="000000"/>
          <w:sz w:val="20"/>
          <w:szCs w:val="20"/>
        </w:rPr>
        <w:t>recommendations to improve systems and procedures and initiate corrective actions</w:t>
      </w:r>
    </w:p>
    <w:p w:rsidR="00DF2F5E" w:rsidRPr="00DF2F5E" w:rsidRDefault="00DF2F5E" w:rsidP="00DF2F5E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Managing internal and external stakeholders</w:t>
      </w:r>
    </w:p>
    <w:p w:rsidR="006D5427" w:rsidRDefault="006D5427" w:rsidP="006D5427">
      <w:pPr>
        <w:numPr>
          <w:ilvl w:val="0"/>
          <w:numId w:val="1"/>
        </w:numPr>
        <w:shd w:val="clear" w:color="auto" w:fill="FFFFFF"/>
        <w:tabs>
          <w:tab w:val="num" w:pos="0"/>
        </w:tabs>
        <w:ind w:left="709" w:hanging="283"/>
        <w:jc w:val="both"/>
        <w:rPr>
          <w:rFonts w:ascii="Arial" w:hAnsi="Arial" w:cs="Arial"/>
          <w:color w:val="000000"/>
          <w:sz w:val="20"/>
          <w:szCs w:val="20"/>
        </w:rPr>
      </w:pPr>
      <w:r w:rsidRPr="006D5427">
        <w:rPr>
          <w:rFonts w:ascii="Arial" w:hAnsi="Arial" w:cs="Arial"/>
          <w:color w:val="000000"/>
          <w:sz w:val="20"/>
          <w:szCs w:val="20"/>
        </w:rPr>
        <w:t>Preparation</w:t>
      </w:r>
      <w:r w:rsidR="00AE5415">
        <w:rPr>
          <w:rFonts w:ascii="Arial" w:hAnsi="Arial" w:cs="Arial"/>
          <w:color w:val="000000"/>
          <w:sz w:val="20"/>
          <w:szCs w:val="20"/>
        </w:rPr>
        <w:t xml:space="preserve"> of internal performance report</w:t>
      </w:r>
      <w:r w:rsidR="00DF2F5E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DF2F5E" w:rsidRDefault="0088415B" w:rsidP="00DF2F5E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</w:t>
      </w:r>
      <w:r w:rsidR="00DF2F5E">
        <w:rPr>
          <w:rFonts w:ascii="Arial" w:hAnsi="Arial" w:cs="Arial"/>
          <w:color w:val="000000"/>
          <w:sz w:val="20"/>
          <w:szCs w:val="20"/>
        </w:rPr>
        <w:t>ccount receivables report</w:t>
      </w:r>
    </w:p>
    <w:p w:rsidR="00DF2F5E" w:rsidRDefault="00DF2F5E" w:rsidP="00DF2F5E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status report </w:t>
      </w:r>
    </w:p>
    <w:p w:rsidR="00DF2F5E" w:rsidRPr="00DF2F5E" w:rsidRDefault="0088415B" w:rsidP="00DF2F5E">
      <w:pPr>
        <w:pStyle w:val="ListParagraph"/>
        <w:numPr>
          <w:ilvl w:val="0"/>
          <w:numId w:val="12"/>
        </w:num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Billing and profit analysis</w:t>
      </w:r>
    </w:p>
    <w:p w:rsidR="006D5427" w:rsidRDefault="006D5427" w:rsidP="006D5427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</w:p>
    <w:p w:rsidR="006D5427" w:rsidRDefault="006D5427" w:rsidP="006D5427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</w:p>
    <w:p w:rsidR="006D5427" w:rsidRDefault="006D5427" w:rsidP="006D5427">
      <w:pPr>
        <w:widowControl w:val="0"/>
        <w:pBdr>
          <w:top w:val="single" w:sz="4" w:space="4" w:color="auto"/>
        </w:pBdr>
        <w:autoSpaceDE w:val="0"/>
        <w:autoSpaceDN w:val="0"/>
        <w:adjustRightInd w:val="0"/>
        <w:spacing w:before="120"/>
        <w:jc w:val="both"/>
        <w:rPr>
          <w:rFonts w:ascii="Arial" w:hAnsi="Arial" w:cs="Arial"/>
          <w:b/>
          <w:szCs w:val="20"/>
        </w:rPr>
      </w:pPr>
    </w:p>
    <w:p w:rsidR="006D5427" w:rsidRPr="00EE3011" w:rsidRDefault="006D5427" w:rsidP="006D5427">
      <w:pPr>
        <w:widowControl w:val="0"/>
        <w:pBdr>
          <w:top w:val="single" w:sz="4" w:space="4" w:color="auto"/>
        </w:pBdr>
        <w:autoSpaceDE w:val="0"/>
        <w:autoSpaceDN w:val="0"/>
        <w:adjustRightInd w:val="0"/>
        <w:spacing w:before="120"/>
        <w:jc w:val="both"/>
        <w:rPr>
          <w:rFonts w:ascii="Arial" w:hAnsi="Arial" w:cs="Arial"/>
          <w:b/>
          <w:szCs w:val="20"/>
        </w:rPr>
      </w:pPr>
      <w:r w:rsidRPr="00EE3011">
        <w:rPr>
          <w:rFonts w:ascii="Arial" w:hAnsi="Arial" w:cs="Arial"/>
          <w:b/>
          <w:szCs w:val="20"/>
        </w:rPr>
        <w:t xml:space="preserve">PAST EMPLOYMENT </w:t>
      </w:r>
    </w:p>
    <w:p w:rsidR="006D5427" w:rsidRDefault="006D5427" w:rsidP="00EE3011">
      <w:pPr>
        <w:widowControl w:val="0"/>
        <w:pBdr>
          <w:top w:val="single" w:sz="4" w:space="8" w:color="auto"/>
        </w:pBdr>
        <w:autoSpaceDE w:val="0"/>
        <w:autoSpaceDN w:val="0"/>
        <w:adjustRightInd w:val="0"/>
        <w:spacing w:before="360"/>
        <w:jc w:val="both"/>
        <w:rPr>
          <w:rFonts w:ascii="Arial" w:hAnsi="Arial" w:cs="Arial"/>
          <w:bCs/>
          <w:color w:val="000000" w:themeColor="text1"/>
          <w:szCs w:val="20"/>
        </w:rPr>
      </w:pPr>
    </w:p>
    <w:p w:rsidR="003606C9" w:rsidRPr="002159C8" w:rsidRDefault="00926280" w:rsidP="006D5427">
      <w:pPr>
        <w:jc w:val="both"/>
        <w:rPr>
          <w:rFonts w:ascii="Arial" w:hAnsi="Arial" w:cs="Arial"/>
          <w:b/>
          <w:bCs/>
          <w:sz w:val="22"/>
          <w:szCs w:val="20"/>
          <w:u w:val="single"/>
        </w:rPr>
      </w:pPr>
      <w:r w:rsidRPr="002159C8">
        <w:rPr>
          <w:rFonts w:ascii="Arial" w:hAnsi="Arial"/>
          <w:b/>
          <w:bCs/>
          <w:sz w:val="22"/>
        </w:rPr>
        <w:t xml:space="preserve">Assistant Manager </w:t>
      </w:r>
      <w:r w:rsidR="003606C9" w:rsidRPr="002159C8">
        <w:rPr>
          <w:rFonts w:ascii="Arial" w:hAnsi="Arial" w:cs="Arial"/>
          <w:sz w:val="22"/>
          <w:szCs w:val="20"/>
        </w:rPr>
        <w:t>│</w:t>
      </w:r>
      <w:r w:rsidR="003606C9" w:rsidRPr="002159C8">
        <w:rPr>
          <w:rFonts w:ascii="Arial" w:hAnsi="Arial" w:cs="Arial"/>
          <w:b/>
          <w:sz w:val="22"/>
          <w:szCs w:val="20"/>
        </w:rPr>
        <w:t xml:space="preserve"> </w:t>
      </w:r>
      <w:r w:rsidRPr="002159C8">
        <w:rPr>
          <w:rFonts w:ascii="Arial" w:hAnsi="Arial"/>
          <w:bCs/>
          <w:i/>
          <w:sz w:val="22"/>
        </w:rPr>
        <w:t xml:space="preserve">Dec 2009 </w:t>
      </w:r>
      <w:r w:rsidR="006D5427">
        <w:rPr>
          <w:rFonts w:ascii="Arial" w:hAnsi="Arial"/>
          <w:bCs/>
          <w:i/>
          <w:sz w:val="22"/>
        </w:rPr>
        <w:t>–</w:t>
      </w:r>
      <w:r w:rsidRPr="002159C8">
        <w:rPr>
          <w:rFonts w:ascii="Arial" w:hAnsi="Arial"/>
          <w:bCs/>
          <w:i/>
          <w:sz w:val="22"/>
        </w:rPr>
        <w:t xml:space="preserve"> </w:t>
      </w:r>
      <w:r w:rsidR="006D5427">
        <w:rPr>
          <w:rFonts w:ascii="Arial" w:hAnsi="Arial"/>
          <w:bCs/>
          <w:i/>
          <w:sz w:val="22"/>
        </w:rPr>
        <w:t>Nov 2015</w:t>
      </w:r>
    </w:p>
    <w:p w:rsidR="003606C9" w:rsidRPr="002159C8" w:rsidRDefault="004F32EF" w:rsidP="002159C8">
      <w:pPr>
        <w:pStyle w:val="Heading4"/>
        <w:ind w:left="2694" w:hanging="2694"/>
        <w:jc w:val="both"/>
        <w:rPr>
          <w:rFonts w:ascii="Arial" w:hAnsi="Arial" w:cs="Arial"/>
          <w:b/>
          <w:sz w:val="22"/>
          <w:szCs w:val="20"/>
        </w:rPr>
      </w:pPr>
      <w:r w:rsidRPr="002159C8">
        <w:rPr>
          <w:rFonts w:ascii="Arial" w:hAnsi="Arial" w:cs="Arial"/>
          <w:b/>
          <w:sz w:val="22"/>
          <w:szCs w:val="20"/>
        </w:rPr>
        <w:t>P</w:t>
      </w:r>
      <w:r w:rsidR="00470B3B" w:rsidRPr="002159C8">
        <w:rPr>
          <w:rFonts w:ascii="Arial" w:hAnsi="Arial" w:cs="Arial"/>
          <w:b/>
          <w:sz w:val="22"/>
          <w:szCs w:val="20"/>
        </w:rPr>
        <w:t>ricewaterhouseCoopers</w:t>
      </w:r>
      <w:r w:rsidRPr="002159C8">
        <w:rPr>
          <w:rFonts w:ascii="Arial" w:hAnsi="Arial" w:cs="Arial"/>
          <w:b/>
          <w:sz w:val="22"/>
          <w:szCs w:val="20"/>
        </w:rPr>
        <w:t xml:space="preserve"> LLP</w:t>
      </w:r>
    </w:p>
    <w:p w:rsidR="003606C9" w:rsidRDefault="003606C9" w:rsidP="00926280">
      <w:pPr>
        <w:pStyle w:val="Heading4"/>
        <w:spacing w:before="120"/>
        <w:jc w:val="both"/>
        <w:rPr>
          <w:rFonts w:ascii="Arial" w:hAnsi="Arial" w:cs="Arial"/>
          <w:b/>
          <w:sz w:val="21"/>
          <w:szCs w:val="20"/>
        </w:rPr>
      </w:pPr>
      <w:r w:rsidRPr="00926280">
        <w:rPr>
          <w:rFonts w:ascii="Arial" w:hAnsi="Arial" w:cs="Arial"/>
          <w:b/>
          <w:sz w:val="21"/>
          <w:szCs w:val="20"/>
        </w:rPr>
        <w:t>Statutory audit</w:t>
      </w:r>
    </w:p>
    <w:p w:rsidR="00694494" w:rsidRPr="00694494" w:rsidRDefault="00694494" w:rsidP="00694494"/>
    <w:p w:rsidR="00470B3B" w:rsidRPr="00EE3011" w:rsidRDefault="00575EC8" w:rsidP="003606C9">
      <w:pPr>
        <w:numPr>
          <w:ilvl w:val="0"/>
          <w:numId w:val="1"/>
        </w:numPr>
        <w:shd w:val="clear" w:color="auto" w:fill="FFFFFF"/>
        <w:tabs>
          <w:tab w:val="num" w:pos="0"/>
        </w:tabs>
        <w:ind w:left="709" w:hanging="283"/>
        <w:jc w:val="both"/>
        <w:rPr>
          <w:rFonts w:ascii="Arial" w:hAnsi="Arial" w:cs="Arial"/>
          <w:color w:val="000000"/>
          <w:sz w:val="20"/>
          <w:szCs w:val="20"/>
        </w:rPr>
      </w:pPr>
      <w:r w:rsidRPr="00EE3011">
        <w:rPr>
          <w:rFonts w:ascii="Arial" w:hAnsi="Arial" w:cs="Arial"/>
          <w:color w:val="000000"/>
          <w:sz w:val="20"/>
          <w:szCs w:val="20"/>
        </w:rPr>
        <w:t xml:space="preserve">Statutory audit </w:t>
      </w:r>
      <w:r w:rsidR="00921DB4" w:rsidRPr="00EE3011">
        <w:rPr>
          <w:rFonts w:ascii="Arial" w:hAnsi="Arial" w:cs="Arial"/>
          <w:color w:val="000000"/>
          <w:sz w:val="20"/>
          <w:szCs w:val="20"/>
        </w:rPr>
        <w:t xml:space="preserve">of </w:t>
      </w:r>
      <w:r w:rsidR="00DA1D07" w:rsidRPr="00EE3011">
        <w:rPr>
          <w:rFonts w:ascii="Arial" w:hAnsi="Arial" w:cs="Arial"/>
          <w:color w:val="000000"/>
          <w:sz w:val="20"/>
          <w:szCs w:val="20"/>
        </w:rPr>
        <w:t>Multinational corporations in</w:t>
      </w:r>
      <w:r w:rsidRPr="00EE3011">
        <w:rPr>
          <w:rFonts w:ascii="Arial" w:hAnsi="Arial" w:cs="Arial"/>
          <w:color w:val="000000"/>
          <w:sz w:val="20"/>
          <w:szCs w:val="20"/>
        </w:rPr>
        <w:t xml:space="preserve"> various industries</w:t>
      </w:r>
      <w:r w:rsidR="00255A02">
        <w:rPr>
          <w:rFonts w:ascii="Arial" w:hAnsi="Arial" w:cs="Arial"/>
          <w:color w:val="000000"/>
          <w:sz w:val="20"/>
          <w:szCs w:val="20"/>
        </w:rPr>
        <w:t xml:space="preserve"> include</w:t>
      </w:r>
      <w:r w:rsidR="005F7F50">
        <w:rPr>
          <w:rFonts w:ascii="Arial" w:hAnsi="Arial" w:cs="Arial"/>
          <w:color w:val="000000"/>
          <w:sz w:val="20"/>
          <w:szCs w:val="20"/>
        </w:rPr>
        <w:t xml:space="preserve"> leading</w:t>
      </w:r>
      <w:r w:rsidR="002929D7">
        <w:rPr>
          <w:rFonts w:ascii="Arial" w:hAnsi="Arial" w:cs="Arial"/>
          <w:color w:val="000000"/>
          <w:sz w:val="20"/>
          <w:szCs w:val="20"/>
        </w:rPr>
        <w:t xml:space="preserve"> commodity trading (e.g.</w:t>
      </w:r>
      <w:r w:rsidR="005F7F50">
        <w:rPr>
          <w:rFonts w:ascii="Arial" w:hAnsi="Arial" w:cs="Arial"/>
          <w:color w:val="000000"/>
          <w:sz w:val="20"/>
          <w:szCs w:val="20"/>
        </w:rPr>
        <w:t xml:space="preserve"> </w:t>
      </w:r>
      <w:r w:rsidR="00EE444A">
        <w:rPr>
          <w:rFonts w:ascii="Arial" w:hAnsi="Arial" w:cs="Arial"/>
          <w:color w:val="000000"/>
          <w:sz w:val="20"/>
          <w:szCs w:val="20"/>
        </w:rPr>
        <w:t>oil &amp; gas</w:t>
      </w:r>
      <w:r w:rsidR="00B46B0E">
        <w:rPr>
          <w:rFonts w:ascii="Arial" w:hAnsi="Arial" w:cs="Arial"/>
          <w:color w:val="000000"/>
          <w:sz w:val="20"/>
          <w:szCs w:val="20"/>
        </w:rPr>
        <w:t>,</w:t>
      </w:r>
      <w:r w:rsidR="002929D7">
        <w:rPr>
          <w:rFonts w:ascii="Arial" w:hAnsi="Arial" w:cs="Arial"/>
          <w:color w:val="000000"/>
          <w:sz w:val="20"/>
          <w:szCs w:val="20"/>
        </w:rPr>
        <w:t xml:space="preserve"> iron ore</w:t>
      </w:r>
      <w:r w:rsidR="00921DB4" w:rsidRPr="00EE3011">
        <w:rPr>
          <w:rFonts w:ascii="Arial" w:hAnsi="Arial" w:cs="Arial"/>
          <w:color w:val="000000"/>
          <w:sz w:val="20"/>
          <w:szCs w:val="20"/>
        </w:rPr>
        <w:t>,</w:t>
      </w:r>
      <w:r w:rsidR="002929D7">
        <w:rPr>
          <w:rFonts w:ascii="Arial" w:hAnsi="Arial" w:cs="Arial"/>
          <w:color w:val="000000"/>
          <w:sz w:val="20"/>
          <w:szCs w:val="20"/>
        </w:rPr>
        <w:t xml:space="preserve"> palm oil, chemicals)</w:t>
      </w:r>
      <w:r w:rsidR="00921DB4" w:rsidRPr="00EE3011">
        <w:rPr>
          <w:rFonts w:ascii="Arial" w:hAnsi="Arial" w:cs="Arial"/>
          <w:color w:val="000000"/>
          <w:sz w:val="20"/>
          <w:szCs w:val="20"/>
        </w:rPr>
        <w:t xml:space="preserve"> shipping</w:t>
      </w:r>
      <w:r w:rsidR="00905E38" w:rsidRPr="00EE3011">
        <w:rPr>
          <w:rFonts w:ascii="Arial" w:hAnsi="Arial" w:cs="Arial"/>
          <w:color w:val="000000"/>
          <w:sz w:val="20"/>
          <w:szCs w:val="20"/>
        </w:rPr>
        <w:t>, engineering</w:t>
      </w:r>
      <w:r w:rsidR="00DA1D07" w:rsidRPr="00EE3011">
        <w:rPr>
          <w:rFonts w:ascii="Arial" w:hAnsi="Arial" w:cs="Arial"/>
          <w:color w:val="000000"/>
          <w:sz w:val="20"/>
          <w:szCs w:val="20"/>
        </w:rPr>
        <w:t xml:space="preserve"> &amp; construction</w:t>
      </w:r>
      <w:r w:rsidR="00C96B99" w:rsidRPr="00EE3011">
        <w:rPr>
          <w:rFonts w:ascii="Arial" w:hAnsi="Arial" w:cs="Arial"/>
          <w:color w:val="000000"/>
          <w:sz w:val="20"/>
          <w:szCs w:val="20"/>
        </w:rPr>
        <w:t>, real estate, semiconductor</w:t>
      </w:r>
      <w:r w:rsidR="00905E38" w:rsidRPr="00EE3011">
        <w:rPr>
          <w:rFonts w:ascii="Arial" w:hAnsi="Arial" w:cs="Arial"/>
          <w:color w:val="000000"/>
          <w:sz w:val="20"/>
          <w:szCs w:val="20"/>
        </w:rPr>
        <w:t xml:space="preserve"> and financial service</w:t>
      </w:r>
      <w:r w:rsidR="00921DB4" w:rsidRPr="00EE3011">
        <w:rPr>
          <w:rFonts w:ascii="Arial" w:hAnsi="Arial" w:cs="Arial"/>
          <w:color w:val="000000"/>
          <w:sz w:val="20"/>
          <w:szCs w:val="20"/>
        </w:rPr>
        <w:t xml:space="preserve"> </w:t>
      </w:r>
      <w:r w:rsidR="00DA1D07" w:rsidRPr="00EE3011">
        <w:rPr>
          <w:rFonts w:ascii="Arial" w:hAnsi="Arial" w:cs="Arial"/>
          <w:color w:val="000000"/>
          <w:sz w:val="20"/>
          <w:szCs w:val="20"/>
        </w:rPr>
        <w:t>organization.</w:t>
      </w:r>
      <w:r w:rsidR="00921DB4" w:rsidRPr="00EE3011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83410F" w:rsidRPr="00EE3011" w:rsidRDefault="0083410F" w:rsidP="0083410F">
      <w:pPr>
        <w:shd w:val="clear" w:color="auto" w:fill="FFFFFF"/>
        <w:ind w:left="709"/>
        <w:jc w:val="both"/>
        <w:rPr>
          <w:rFonts w:ascii="Arial" w:hAnsi="Arial" w:cs="Arial"/>
          <w:color w:val="000000"/>
          <w:sz w:val="20"/>
          <w:szCs w:val="20"/>
        </w:rPr>
      </w:pPr>
    </w:p>
    <w:p w:rsidR="00905E38" w:rsidRPr="00EE3011" w:rsidRDefault="00905E38" w:rsidP="00905E38">
      <w:pPr>
        <w:numPr>
          <w:ilvl w:val="0"/>
          <w:numId w:val="1"/>
        </w:numPr>
        <w:shd w:val="clear" w:color="auto" w:fill="FFFFFF"/>
        <w:tabs>
          <w:tab w:val="num" w:pos="0"/>
        </w:tabs>
        <w:ind w:left="709" w:hanging="283"/>
        <w:jc w:val="both"/>
        <w:rPr>
          <w:rFonts w:ascii="Arial" w:hAnsi="Arial" w:cs="Arial"/>
          <w:color w:val="000000"/>
          <w:sz w:val="20"/>
          <w:szCs w:val="20"/>
        </w:rPr>
      </w:pPr>
      <w:r w:rsidRPr="00EE3011">
        <w:rPr>
          <w:rFonts w:ascii="Arial" w:hAnsi="Arial" w:cs="Arial"/>
          <w:color w:val="000000"/>
          <w:sz w:val="20"/>
          <w:szCs w:val="20"/>
        </w:rPr>
        <w:t>Review of financial statements and consolidation accounts</w:t>
      </w:r>
      <w:r w:rsidR="00B2681B" w:rsidRPr="00EE3011">
        <w:rPr>
          <w:rFonts w:ascii="Arial" w:hAnsi="Arial" w:cs="Arial"/>
          <w:color w:val="000000"/>
          <w:sz w:val="20"/>
          <w:szCs w:val="20"/>
        </w:rPr>
        <w:t>.</w:t>
      </w:r>
      <w:r w:rsidRPr="00EE3011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83410F" w:rsidRPr="00EE3011" w:rsidRDefault="0083410F" w:rsidP="0083410F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:rsidR="000B6C6B" w:rsidRPr="00EE3011" w:rsidRDefault="000B6C6B" w:rsidP="00905E38">
      <w:pPr>
        <w:numPr>
          <w:ilvl w:val="0"/>
          <w:numId w:val="1"/>
        </w:numPr>
        <w:shd w:val="clear" w:color="auto" w:fill="FFFFFF"/>
        <w:tabs>
          <w:tab w:val="num" w:pos="0"/>
        </w:tabs>
        <w:ind w:left="709" w:hanging="283"/>
        <w:jc w:val="both"/>
        <w:rPr>
          <w:rFonts w:ascii="Arial" w:hAnsi="Arial" w:cs="Arial"/>
          <w:color w:val="000000"/>
          <w:sz w:val="20"/>
          <w:szCs w:val="20"/>
        </w:rPr>
      </w:pPr>
      <w:r w:rsidRPr="00EE3011">
        <w:rPr>
          <w:rFonts w:ascii="Arial" w:hAnsi="Arial" w:cs="Arial"/>
          <w:color w:val="000000"/>
          <w:sz w:val="20"/>
          <w:szCs w:val="20"/>
        </w:rPr>
        <w:t xml:space="preserve">Experience </w:t>
      </w:r>
      <w:r w:rsidR="0010330E" w:rsidRPr="00EE3011">
        <w:rPr>
          <w:rFonts w:ascii="Arial" w:hAnsi="Arial" w:cs="Arial"/>
          <w:color w:val="000000"/>
          <w:sz w:val="20"/>
          <w:szCs w:val="20"/>
        </w:rPr>
        <w:t>on</w:t>
      </w:r>
      <w:r w:rsidRPr="00EE3011">
        <w:rPr>
          <w:rFonts w:ascii="Arial" w:hAnsi="Arial" w:cs="Arial"/>
          <w:color w:val="000000"/>
          <w:sz w:val="20"/>
          <w:szCs w:val="20"/>
        </w:rPr>
        <w:t xml:space="preserve"> dealing with complex accounting issues, such as </w:t>
      </w:r>
      <w:r w:rsidR="00D71DD1" w:rsidRPr="00EE3011">
        <w:rPr>
          <w:rFonts w:ascii="Arial" w:hAnsi="Arial" w:cs="Arial"/>
          <w:color w:val="000000"/>
          <w:sz w:val="20"/>
          <w:szCs w:val="20"/>
        </w:rPr>
        <w:t>construction contract</w:t>
      </w:r>
      <w:r w:rsidR="00A723B8">
        <w:rPr>
          <w:rFonts w:ascii="Arial" w:hAnsi="Arial" w:cs="Arial"/>
          <w:color w:val="000000"/>
          <w:sz w:val="20"/>
          <w:szCs w:val="20"/>
        </w:rPr>
        <w:t>, derivatives &amp; other financial instruments</w:t>
      </w:r>
      <w:bookmarkStart w:id="0" w:name="_GoBack"/>
      <w:bookmarkEnd w:id="0"/>
      <w:r w:rsidR="00760CA4">
        <w:rPr>
          <w:rFonts w:ascii="Arial" w:hAnsi="Arial" w:cs="Arial"/>
          <w:color w:val="000000"/>
          <w:sz w:val="20"/>
          <w:szCs w:val="20"/>
        </w:rPr>
        <w:t xml:space="preserve">, consolidation accounting, </w:t>
      </w:r>
      <w:r w:rsidR="00A723B8" w:rsidRPr="00EE3011">
        <w:rPr>
          <w:rFonts w:ascii="Arial" w:hAnsi="Arial" w:cs="Arial"/>
          <w:color w:val="000000"/>
          <w:sz w:val="20"/>
          <w:szCs w:val="20"/>
        </w:rPr>
        <w:t>and deferred</w:t>
      </w:r>
      <w:r w:rsidR="0010330E" w:rsidRPr="00EE3011">
        <w:rPr>
          <w:rFonts w:ascii="Arial" w:hAnsi="Arial" w:cs="Arial"/>
          <w:color w:val="000000"/>
          <w:sz w:val="20"/>
          <w:szCs w:val="20"/>
        </w:rPr>
        <w:t xml:space="preserve"> tax. </w:t>
      </w:r>
      <w:r w:rsidRPr="00EE3011">
        <w:rPr>
          <w:rFonts w:ascii="Arial" w:hAnsi="Arial" w:cs="Arial"/>
          <w:color w:val="000000"/>
          <w:sz w:val="20"/>
          <w:szCs w:val="20"/>
        </w:rPr>
        <w:t xml:space="preserve">Etc. </w:t>
      </w:r>
    </w:p>
    <w:p w:rsidR="0083410F" w:rsidRPr="00EE3011" w:rsidRDefault="0083410F" w:rsidP="0083410F">
      <w:pPr>
        <w:shd w:val="clear" w:color="auto" w:fill="FFFFFF"/>
        <w:ind w:left="709"/>
        <w:jc w:val="both"/>
        <w:rPr>
          <w:rFonts w:ascii="Arial" w:hAnsi="Arial" w:cs="Arial"/>
          <w:color w:val="000000"/>
          <w:sz w:val="20"/>
          <w:szCs w:val="20"/>
        </w:rPr>
      </w:pPr>
    </w:p>
    <w:p w:rsidR="00360337" w:rsidRPr="00EE3011" w:rsidRDefault="00FE0E35" w:rsidP="00360337">
      <w:pPr>
        <w:numPr>
          <w:ilvl w:val="0"/>
          <w:numId w:val="1"/>
        </w:numPr>
        <w:shd w:val="clear" w:color="auto" w:fill="FFFFFF"/>
        <w:tabs>
          <w:tab w:val="num" w:pos="0"/>
        </w:tabs>
        <w:ind w:left="709" w:hanging="283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P</w:t>
      </w:r>
      <w:r w:rsidR="00DA1D07" w:rsidRPr="00EE3011">
        <w:rPr>
          <w:rFonts w:ascii="Arial" w:hAnsi="Arial" w:cs="Arial"/>
          <w:color w:val="000000"/>
          <w:sz w:val="20"/>
          <w:szCs w:val="20"/>
        </w:rPr>
        <w:t>lanning, team-leading</w:t>
      </w:r>
      <w:r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EE3011">
        <w:rPr>
          <w:rFonts w:ascii="Arial" w:hAnsi="Arial" w:cs="Arial"/>
          <w:color w:val="000000"/>
          <w:sz w:val="20"/>
          <w:szCs w:val="20"/>
        </w:rPr>
        <w:t>review</w:t>
      </w:r>
      <w:r w:rsidR="00DA1D07" w:rsidRPr="00EE3011">
        <w:rPr>
          <w:rFonts w:ascii="Arial" w:hAnsi="Arial" w:cs="Arial"/>
          <w:color w:val="000000"/>
          <w:sz w:val="20"/>
          <w:szCs w:val="20"/>
        </w:rPr>
        <w:t xml:space="preserve"> of audit work, </w:t>
      </w:r>
      <w:r w:rsidR="0010330E" w:rsidRPr="00EE3011">
        <w:rPr>
          <w:rFonts w:ascii="Arial" w:hAnsi="Arial" w:cs="Arial"/>
          <w:color w:val="000000"/>
          <w:sz w:val="20"/>
          <w:szCs w:val="20"/>
        </w:rPr>
        <w:t xml:space="preserve">preparation &amp; liaison of management letter, </w:t>
      </w:r>
      <w:r w:rsidR="00DA1D07" w:rsidRPr="00EE3011">
        <w:rPr>
          <w:rFonts w:ascii="Arial" w:hAnsi="Arial" w:cs="Arial"/>
          <w:color w:val="000000"/>
          <w:sz w:val="20"/>
          <w:szCs w:val="20"/>
        </w:rPr>
        <w:t xml:space="preserve">internal &amp; external meeting with client and partners. </w:t>
      </w:r>
    </w:p>
    <w:p w:rsidR="003606C9" w:rsidRDefault="003606C9" w:rsidP="00926280">
      <w:pPr>
        <w:shd w:val="clear" w:color="auto" w:fill="FFFFFF"/>
        <w:spacing w:before="240"/>
        <w:jc w:val="both"/>
        <w:rPr>
          <w:rFonts w:ascii="Arial" w:hAnsi="Arial" w:cs="Arial"/>
          <w:b/>
          <w:color w:val="000000"/>
          <w:sz w:val="21"/>
          <w:szCs w:val="20"/>
        </w:rPr>
      </w:pPr>
      <w:r w:rsidRPr="00926280">
        <w:rPr>
          <w:rFonts w:ascii="Arial" w:hAnsi="Arial" w:cs="Arial"/>
          <w:b/>
          <w:color w:val="000000"/>
          <w:sz w:val="21"/>
          <w:szCs w:val="20"/>
        </w:rPr>
        <w:t>Special audit, review and engagement(s)</w:t>
      </w:r>
    </w:p>
    <w:p w:rsidR="00821E72" w:rsidRDefault="00821E72" w:rsidP="00694494">
      <w:pPr>
        <w:rPr>
          <w:rFonts w:ascii="Arial" w:hAnsi="Arial" w:cs="Arial"/>
          <w:b/>
          <w:color w:val="000000"/>
          <w:sz w:val="21"/>
          <w:szCs w:val="20"/>
        </w:rPr>
      </w:pPr>
    </w:p>
    <w:p w:rsidR="00924EA3" w:rsidRPr="00EE3011" w:rsidRDefault="00B2681B" w:rsidP="00B2681B">
      <w:pPr>
        <w:numPr>
          <w:ilvl w:val="0"/>
          <w:numId w:val="1"/>
        </w:numPr>
        <w:shd w:val="clear" w:color="auto" w:fill="FFFFFF"/>
        <w:ind w:left="714" w:hanging="288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EE3011">
        <w:rPr>
          <w:rFonts w:ascii="Arial" w:hAnsi="Arial" w:cs="Arial"/>
          <w:b/>
          <w:color w:val="000000"/>
          <w:sz w:val="20"/>
          <w:szCs w:val="20"/>
        </w:rPr>
        <w:t>Quality management review</w:t>
      </w:r>
    </w:p>
    <w:p w:rsidR="00B2681B" w:rsidRPr="00EE3011" w:rsidRDefault="00B2681B" w:rsidP="00924EA3">
      <w:pPr>
        <w:shd w:val="clear" w:color="auto" w:fill="FFFFFF"/>
        <w:ind w:left="714"/>
        <w:jc w:val="both"/>
        <w:rPr>
          <w:rFonts w:ascii="Arial" w:hAnsi="Arial" w:cs="Arial"/>
          <w:color w:val="000000"/>
          <w:sz w:val="20"/>
          <w:szCs w:val="20"/>
        </w:rPr>
      </w:pPr>
      <w:r w:rsidRPr="00EE3011">
        <w:rPr>
          <w:rFonts w:ascii="Arial" w:hAnsi="Arial" w:cs="Arial"/>
          <w:color w:val="000000"/>
          <w:sz w:val="20"/>
          <w:szCs w:val="20"/>
        </w:rPr>
        <w:t xml:space="preserve">Evaluation and review of firm’s </w:t>
      </w:r>
      <w:r w:rsidR="00CE37D2">
        <w:rPr>
          <w:rFonts w:ascii="Arial" w:hAnsi="Arial" w:cs="Arial"/>
          <w:color w:val="000000"/>
          <w:sz w:val="20"/>
          <w:szCs w:val="20"/>
        </w:rPr>
        <w:t>quality control policies and procedures</w:t>
      </w:r>
      <w:r w:rsidRPr="00EE3011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824EDB" w:rsidRPr="00EE3011" w:rsidRDefault="00824EDB" w:rsidP="00924EA3">
      <w:pPr>
        <w:shd w:val="clear" w:color="auto" w:fill="FFFFFF"/>
        <w:ind w:left="714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924EA3" w:rsidRPr="00EE3011" w:rsidRDefault="00BC201E" w:rsidP="00575EC8">
      <w:pPr>
        <w:numPr>
          <w:ilvl w:val="0"/>
          <w:numId w:val="1"/>
        </w:numPr>
        <w:shd w:val="clear" w:color="auto" w:fill="FFFFFF"/>
        <w:ind w:left="714" w:hanging="288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A</w:t>
      </w:r>
      <w:r w:rsidR="00921DB4" w:rsidRPr="00EE3011">
        <w:rPr>
          <w:rFonts w:ascii="Arial" w:hAnsi="Arial" w:cs="Arial"/>
          <w:b/>
          <w:color w:val="000000"/>
          <w:sz w:val="20"/>
          <w:szCs w:val="20"/>
        </w:rPr>
        <w:t xml:space="preserve">ssurance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reporting for </w:t>
      </w:r>
      <w:r w:rsidR="000E4667">
        <w:rPr>
          <w:rFonts w:ascii="Arial" w:hAnsi="Arial" w:cs="Arial"/>
          <w:b/>
          <w:color w:val="000000"/>
          <w:sz w:val="20"/>
          <w:szCs w:val="20"/>
        </w:rPr>
        <w:t>specified business information</w:t>
      </w:r>
    </w:p>
    <w:p w:rsidR="00575EC8" w:rsidRPr="00EE3011" w:rsidRDefault="00921DB4" w:rsidP="00924EA3">
      <w:pPr>
        <w:shd w:val="clear" w:color="auto" w:fill="FFFFFF"/>
        <w:ind w:left="714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EE3011">
        <w:rPr>
          <w:rFonts w:ascii="Arial" w:hAnsi="Arial" w:cs="Arial"/>
          <w:color w:val="000000"/>
          <w:sz w:val="20"/>
          <w:szCs w:val="20"/>
        </w:rPr>
        <w:t xml:space="preserve">Assurance </w:t>
      </w:r>
      <w:r w:rsidR="00924EA3" w:rsidRPr="00EE3011">
        <w:rPr>
          <w:rFonts w:ascii="Arial" w:hAnsi="Arial" w:cs="Arial"/>
          <w:color w:val="000000"/>
          <w:sz w:val="20"/>
          <w:szCs w:val="20"/>
        </w:rPr>
        <w:t xml:space="preserve">reporting </w:t>
      </w:r>
      <w:r w:rsidR="000E4667">
        <w:rPr>
          <w:rFonts w:ascii="Arial" w:hAnsi="Arial" w:cs="Arial"/>
          <w:color w:val="000000"/>
          <w:sz w:val="20"/>
          <w:szCs w:val="20"/>
        </w:rPr>
        <w:t>on surveys or certification for regulatory performance or external use.</w:t>
      </w:r>
      <w:proofErr w:type="gramEnd"/>
      <w:r w:rsidR="000E4667">
        <w:rPr>
          <w:rFonts w:ascii="Arial" w:hAnsi="Arial" w:cs="Arial"/>
          <w:color w:val="000000"/>
          <w:sz w:val="20"/>
          <w:szCs w:val="20"/>
        </w:rPr>
        <w:t xml:space="preserve">  </w:t>
      </w:r>
    </w:p>
    <w:p w:rsidR="00834F23" w:rsidRPr="00EE3011" w:rsidRDefault="00834F23" w:rsidP="00360337">
      <w:pPr>
        <w:shd w:val="clear" w:color="auto" w:fill="FFFFFF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924EA3" w:rsidRPr="00926280" w:rsidRDefault="003606C9" w:rsidP="00575EC8">
      <w:pPr>
        <w:numPr>
          <w:ilvl w:val="0"/>
          <w:numId w:val="1"/>
        </w:numPr>
        <w:shd w:val="clear" w:color="auto" w:fill="FFFFFF"/>
        <w:ind w:left="714" w:hanging="288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926280">
        <w:rPr>
          <w:rFonts w:ascii="Arial" w:hAnsi="Arial" w:cs="Arial"/>
          <w:b/>
          <w:color w:val="000000"/>
          <w:sz w:val="20"/>
          <w:szCs w:val="20"/>
        </w:rPr>
        <w:t>Agreed-Upon-Procedures</w:t>
      </w:r>
    </w:p>
    <w:p w:rsidR="00824EDB" w:rsidRDefault="00043203" w:rsidP="00924EA3">
      <w:pPr>
        <w:shd w:val="clear" w:color="auto" w:fill="FFFFFF"/>
        <w:ind w:left="714"/>
        <w:jc w:val="both"/>
        <w:rPr>
          <w:rFonts w:ascii="Arial" w:hAnsi="Arial" w:cs="Arial"/>
          <w:b/>
          <w:color w:val="000000"/>
          <w:sz w:val="20"/>
          <w:szCs w:val="20"/>
        </w:rPr>
      </w:pPr>
      <w:proofErr w:type="gramStart"/>
      <w:r w:rsidRPr="00EE3011">
        <w:rPr>
          <w:rFonts w:ascii="Arial" w:hAnsi="Arial" w:cs="Arial"/>
          <w:color w:val="000000"/>
          <w:sz w:val="20"/>
          <w:szCs w:val="20"/>
        </w:rPr>
        <w:t xml:space="preserve">Actual finding report on </w:t>
      </w:r>
      <w:r w:rsidR="004E728A">
        <w:rPr>
          <w:rFonts w:ascii="Arial" w:hAnsi="Arial" w:cs="Arial"/>
          <w:color w:val="000000"/>
          <w:sz w:val="20"/>
          <w:szCs w:val="20"/>
        </w:rPr>
        <w:t xml:space="preserve">specific aspects of business according to </w:t>
      </w:r>
      <w:r w:rsidR="00C52979">
        <w:rPr>
          <w:rFonts w:ascii="Arial" w:hAnsi="Arial" w:cs="Arial"/>
          <w:color w:val="000000"/>
          <w:sz w:val="20"/>
          <w:szCs w:val="20"/>
        </w:rPr>
        <w:t xml:space="preserve">assigned </w:t>
      </w:r>
      <w:r w:rsidR="00824EDB" w:rsidRPr="00EE3011">
        <w:rPr>
          <w:rFonts w:ascii="Arial" w:hAnsi="Arial" w:cs="Arial"/>
          <w:color w:val="000000"/>
          <w:sz w:val="20"/>
          <w:szCs w:val="20"/>
        </w:rPr>
        <w:t xml:space="preserve">specified </w:t>
      </w:r>
      <w:r w:rsidRPr="00EE3011">
        <w:rPr>
          <w:rFonts w:ascii="Arial" w:hAnsi="Arial" w:cs="Arial"/>
          <w:color w:val="000000"/>
          <w:sz w:val="20"/>
          <w:szCs w:val="20"/>
        </w:rPr>
        <w:t>procedures</w:t>
      </w:r>
      <w:r w:rsidR="00C52979">
        <w:rPr>
          <w:rFonts w:ascii="Arial" w:hAnsi="Arial" w:cs="Arial"/>
          <w:color w:val="000000"/>
          <w:sz w:val="20"/>
          <w:szCs w:val="20"/>
        </w:rPr>
        <w:t>.</w:t>
      </w:r>
      <w:proofErr w:type="gramEnd"/>
      <w:r w:rsidRPr="00EE3011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B444AA" w:rsidRPr="00EE3011" w:rsidRDefault="00B444AA" w:rsidP="00924EA3">
      <w:pPr>
        <w:shd w:val="clear" w:color="auto" w:fill="FFFFFF"/>
        <w:ind w:left="714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043203" w:rsidRPr="0006203A" w:rsidRDefault="00924EA3" w:rsidP="00924EA3">
      <w:pPr>
        <w:numPr>
          <w:ilvl w:val="0"/>
          <w:numId w:val="1"/>
        </w:numPr>
        <w:shd w:val="clear" w:color="auto" w:fill="FFFFFF"/>
        <w:ind w:left="714" w:hanging="288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06203A">
        <w:rPr>
          <w:rFonts w:ascii="Arial" w:hAnsi="Arial" w:cs="Arial"/>
          <w:b/>
          <w:color w:val="000000"/>
          <w:sz w:val="20"/>
          <w:szCs w:val="20"/>
        </w:rPr>
        <w:t xml:space="preserve">IPO special audit </w:t>
      </w:r>
    </w:p>
    <w:p w:rsidR="0083410F" w:rsidRPr="00EE3011" w:rsidRDefault="00824EDB" w:rsidP="00B444AA">
      <w:pPr>
        <w:shd w:val="clear" w:color="auto" w:fill="FFFFFF"/>
        <w:ind w:left="714"/>
        <w:jc w:val="both"/>
        <w:rPr>
          <w:rFonts w:ascii="Arial" w:hAnsi="Arial" w:cs="Arial"/>
          <w:color w:val="000000"/>
          <w:sz w:val="20"/>
          <w:szCs w:val="20"/>
        </w:rPr>
      </w:pPr>
      <w:r w:rsidRPr="00EE3011">
        <w:rPr>
          <w:rFonts w:ascii="Arial" w:hAnsi="Arial" w:cs="Arial"/>
          <w:color w:val="000000"/>
          <w:sz w:val="20"/>
          <w:szCs w:val="20"/>
        </w:rPr>
        <w:t>Audit of financial information for the purpose of potential IPO</w:t>
      </w:r>
    </w:p>
    <w:p w:rsidR="00821E72" w:rsidRDefault="00470B3B" w:rsidP="00926280">
      <w:pPr>
        <w:shd w:val="clear" w:color="auto" w:fill="FFFFFF"/>
        <w:spacing w:before="120"/>
        <w:jc w:val="both"/>
        <w:rPr>
          <w:rFonts w:ascii="Arial" w:hAnsi="Arial" w:cs="Arial"/>
          <w:b/>
          <w:color w:val="000000"/>
          <w:sz w:val="21"/>
          <w:szCs w:val="20"/>
        </w:rPr>
      </w:pPr>
      <w:r w:rsidRPr="00926280">
        <w:rPr>
          <w:rFonts w:ascii="Arial" w:hAnsi="Arial" w:cs="Arial"/>
          <w:b/>
          <w:color w:val="000000"/>
          <w:sz w:val="21"/>
          <w:szCs w:val="20"/>
        </w:rPr>
        <w:t xml:space="preserve">Coordination </w:t>
      </w:r>
    </w:p>
    <w:p w:rsidR="00694494" w:rsidRPr="00926280" w:rsidRDefault="00694494" w:rsidP="00694494">
      <w:pPr>
        <w:rPr>
          <w:rFonts w:ascii="Arial" w:hAnsi="Arial" w:cs="Arial"/>
          <w:b/>
          <w:color w:val="000000"/>
          <w:sz w:val="21"/>
          <w:szCs w:val="20"/>
        </w:rPr>
      </w:pPr>
    </w:p>
    <w:p w:rsidR="00493C24" w:rsidRPr="0006203A" w:rsidRDefault="00493C24" w:rsidP="00493C24">
      <w:pPr>
        <w:numPr>
          <w:ilvl w:val="0"/>
          <w:numId w:val="1"/>
        </w:numPr>
        <w:shd w:val="clear" w:color="auto" w:fill="FFFFFF"/>
        <w:ind w:left="714" w:hanging="288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06203A">
        <w:rPr>
          <w:rFonts w:ascii="Arial" w:hAnsi="Arial" w:cs="Arial"/>
          <w:b/>
          <w:color w:val="000000"/>
          <w:sz w:val="20"/>
          <w:szCs w:val="20"/>
        </w:rPr>
        <w:t xml:space="preserve">Coordination with tax specialist </w:t>
      </w:r>
    </w:p>
    <w:p w:rsidR="00C96B99" w:rsidRPr="00EE3011" w:rsidRDefault="00493C24" w:rsidP="00834F23">
      <w:pPr>
        <w:shd w:val="clear" w:color="auto" w:fill="FFFFFF"/>
        <w:ind w:left="714"/>
        <w:jc w:val="both"/>
        <w:rPr>
          <w:rFonts w:ascii="Arial" w:hAnsi="Arial" w:cs="Arial"/>
          <w:color w:val="000000"/>
          <w:sz w:val="20"/>
          <w:szCs w:val="20"/>
        </w:rPr>
      </w:pPr>
      <w:r w:rsidRPr="00EE3011">
        <w:rPr>
          <w:rFonts w:ascii="Arial" w:hAnsi="Arial" w:cs="Arial"/>
          <w:color w:val="000000"/>
          <w:sz w:val="20"/>
          <w:szCs w:val="20"/>
        </w:rPr>
        <w:t>Experience of working with tax specialist on complex tax areas such as</w:t>
      </w:r>
      <w:r w:rsidR="00255A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EE3011">
        <w:rPr>
          <w:rFonts w:ascii="Arial" w:hAnsi="Arial" w:cs="Arial"/>
          <w:color w:val="000000"/>
          <w:sz w:val="20"/>
          <w:szCs w:val="20"/>
        </w:rPr>
        <w:t>special tax scheme</w:t>
      </w:r>
      <w:r w:rsidR="00870E60">
        <w:rPr>
          <w:rFonts w:ascii="Arial" w:hAnsi="Arial" w:cs="Arial"/>
          <w:color w:val="000000"/>
          <w:sz w:val="20"/>
          <w:szCs w:val="20"/>
        </w:rPr>
        <w:t>s</w:t>
      </w:r>
      <w:r w:rsidR="00926280">
        <w:rPr>
          <w:rFonts w:ascii="Arial" w:hAnsi="Arial" w:cs="Arial"/>
          <w:color w:val="000000"/>
          <w:sz w:val="20"/>
          <w:szCs w:val="20"/>
        </w:rPr>
        <w:t xml:space="preserve">, </w:t>
      </w:r>
      <w:r w:rsidR="001E7244">
        <w:rPr>
          <w:rFonts w:ascii="Arial" w:hAnsi="Arial" w:cs="Arial"/>
          <w:color w:val="000000"/>
          <w:sz w:val="20"/>
          <w:szCs w:val="20"/>
        </w:rPr>
        <w:t>transfer pricing, deferred tax</w:t>
      </w:r>
      <w:r w:rsidR="00870E60">
        <w:rPr>
          <w:rFonts w:ascii="Arial" w:hAnsi="Arial" w:cs="Arial"/>
          <w:color w:val="000000"/>
          <w:sz w:val="20"/>
          <w:szCs w:val="20"/>
        </w:rPr>
        <w:t xml:space="preserve"> </w:t>
      </w:r>
      <w:r w:rsidR="009A2C65">
        <w:rPr>
          <w:rFonts w:ascii="Arial" w:hAnsi="Arial" w:cs="Arial"/>
          <w:color w:val="000000"/>
          <w:sz w:val="20"/>
          <w:szCs w:val="20"/>
        </w:rPr>
        <w:t>and income</w:t>
      </w:r>
      <w:r w:rsidR="00870E60">
        <w:rPr>
          <w:rFonts w:ascii="Arial" w:hAnsi="Arial" w:cs="Arial"/>
          <w:color w:val="000000"/>
          <w:sz w:val="20"/>
          <w:szCs w:val="20"/>
        </w:rPr>
        <w:t xml:space="preserve"> </w:t>
      </w:r>
      <w:r w:rsidR="00870E60" w:rsidRPr="00EE3011">
        <w:rPr>
          <w:rFonts w:ascii="Arial" w:hAnsi="Arial" w:cs="Arial"/>
          <w:color w:val="000000"/>
          <w:sz w:val="20"/>
          <w:szCs w:val="20"/>
        </w:rPr>
        <w:t>tax</w:t>
      </w:r>
      <w:r w:rsidR="00870E60">
        <w:rPr>
          <w:rFonts w:ascii="Arial" w:hAnsi="Arial" w:cs="Arial"/>
          <w:color w:val="000000"/>
          <w:sz w:val="20"/>
          <w:szCs w:val="20"/>
        </w:rPr>
        <w:t xml:space="preserve">es involves </w:t>
      </w:r>
      <w:r w:rsidRPr="00EE3011">
        <w:rPr>
          <w:rFonts w:ascii="Arial" w:hAnsi="Arial" w:cs="Arial"/>
          <w:color w:val="000000"/>
          <w:sz w:val="20"/>
          <w:szCs w:val="20"/>
        </w:rPr>
        <w:t>multiple jurisdictions</w:t>
      </w:r>
      <w:r w:rsidR="00096C49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493C24" w:rsidRPr="00EE3011" w:rsidRDefault="00493C24" w:rsidP="00834F23">
      <w:pPr>
        <w:shd w:val="clear" w:color="auto" w:fill="FFFFFF"/>
        <w:ind w:left="714"/>
        <w:jc w:val="both"/>
        <w:rPr>
          <w:rFonts w:ascii="Arial" w:hAnsi="Arial" w:cs="Arial"/>
          <w:color w:val="000000"/>
          <w:sz w:val="20"/>
          <w:szCs w:val="20"/>
        </w:rPr>
      </w:pPr>
      <w:r w:rsidRPr="00EE3011">
        <w:rPr>
          <w:rFonts w:ascii="Arial" w:hAnsi="Arial" w:cs="Arial"/>
          <w:color w:val="000000"/>
          <w:sz w:val="20"/>
          <w:szCs w:val="20"/>
        </w:rPr>
        <w:t xml:space="preserve">  </w:t>
      </w:r>
    </w:p>
    <w:p w:rsidR="00493C24" w:rsidRPr="0006203A" w:rsidRDefault="00493C24" w:rsidP="00493C24">
      <w:pPr>
        <w:numPr>
          <w:ilvl w:val="0"/>
          <w:numId w:val="1"/>
        </w:numPr>
        <w:shd w:val="clear" w:color="auto" w:fill="FFFFFF"/>
        <w:ind w:left="714" w:hanging="288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06203A">
        <w:rPr>
          <w:rFonts w:ascii="Arial" w:hAnsi="Arial" w:cs="Arial"/>
          <w:b/>
          <w:color w:val="000000"/>
          <w:sz w:val="20"/>
          <w:szCs w:val="20"/>
        </w:rPr>
        <w:t>Coordination with IT specialist</w:t>
      </w:r>
    </w:p>
    <w:p w:rsidR="00834F23" w:rsidRPr="00EE3011" w:rsidRDefault="00834F23" w:rsidP="00834F23">
      <w:pPr>
        <w:pStyle w:val="ListParagraph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EE3011">
        <w:rPr>
          <w:rFonts w:ascii="Arial" w:hAnsi="Arial" w:cs="Arial"/>
          <w:color w:val="000000"/>
          <w:sz w:val="20"/>
          <w:szCs w:val="20"/>
        </w:rPr>
        <w:t>Experience of working with IT specialist</w:t>
      </w:r>
      <w:r w:rsidR="00850046">
        <w:rPr>
          <w:rFonts w:ascii="Arial" w:hAnsi="Arial" w:cs="Arial"/>
          <w:color w:val="000000"/>
          <w:sz w:val="20"/>
          <w:szCs w:val="20"/>
        </w:rPr>
        <w:t>s</w:t>
      </w:r>
      <w:r w:rsidRPr="00EE3011">
        <w:rPr>
          <w:rFonts w:ascii="Arial" w:hAnsi="Arial" w:cs="Arial"/>
          <w:color w:val="000000"/>
          <w:sz w:val="20"/>
          <w:szCs w:val="20"/>
        </w:rPr>
        <w:t xml:space="preserve"> on system process, program changes and data migration.</w:t>
      </w:r>
      <w:proofErr w:type="gramEnd"/>
      <w:r w:rsidRPr="00EE3011">
        <w:rPr>
          <w:rFonts w:ascii="Arial" w:hAnsi="Arial" w:cs="Arial"/>
          <w:color w:val="000000"/>
          <w:sz w:val="20"/>
          <w:szCs w:val="20"/>
        </w:rPr>
        <w:t xml:space="preserve">  </w:t>
      </w:r>
    </w:p>
    <w:p w:rsidR="00493C24" w:rsidRPr="00EE3011" w:rsidRDefault="00493C24" w:rsidP="00493C24">
      <w:pPr>
        <w:shd w:val="clear" w:color="auto" w:fill="FFFFFF"/>
        <w:ind w:left="714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493C24" w:rsidRPr="00CA651B" w:rsidRDefault="00493C24" w:rsidP="00493C24">
      <w:pPr>
        <w:numPr>
          <w:ilvl w:val="0"/>
          <w:numId w:val="1"/>
        </w:numPr>
        <w:shd w:val="clear" w:color="auto" w:fill="FFFFFF"/>
        <w:ind w:left="714" w:hanging="288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CA651B">
        <w:rPr>
          <w:rFonts w:ascii="Arial" w:hAnsi="Arial" w:cs="Arial"/>
          <w:b/>
          <w:color w:val="000000"/>
          <w:sz w:val="20"/>
          <w:szCs w:val="20"/>
        </w:rPr>
        <w:t xml:space="preserve">Coordination with valuation specialist </w:t>
      </w:r>
    </w:p>
    <w:p w:rsidR="008202C1" w:rsidRDefault="007E5A71" w:rsidP="008202C1">
      <w:pPr>
        <w:pStyle w:val="ListParagraph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EE3011">
        <w:rPr>
          <w:rFonts w:ascii="Arial" w:hAnsi="Arial" w:cs="Arial"/>
          <w:color w:val="000000"/>
          <w:sz w:val="20"/>
          <w:szCs w:val="20"/>
        </w:rPr>
        <w:t>Experience of working with valuation specialist</w:t>
      </w:r>
      <w:r w:rsidR="00850046">
        <w:rPr>
          <w:rFonts w:ascii="Arial" w:hAnsi="Arial" w:cs="Arial"/>
          <w:color w:val="000000"/>
          <w:sz w:val="20"/>
          <w:szCs w:val="20"/>
        </w:rPr>
        <w:t>s</w:t>
      </w:r>
      <w:r w:rsidRPr="00EE3011">
        <w:rPr>
          <w:rFonts w:ascii="Arial" w:hAnsi="Arial" w:cs="Arial"/>
          <w:color w:val="000000"/>
          <w:sz w:val="20"/>
          <w:szCs w:val="20"/>
        </w:rPr>
        <w:t xml:space="preserve"> on valuation models </w:t>
      </w:r>
      <w:r w:rsidR="00550332">
        <w:rPr>
          <w:rFonts w:ascii="Arial" w:hAnsi="Arial" w:cs="Arial"/>
          <w:color w:val="000000"/>
          <w:sz w:val="20"/>
          <w:szCs w:val="20"/>
        </w:rPr>
        <w:t xml:space="preserve">work </w:t>
      </w:r>
      <w:r>
        <w:rPr>
          <w:rFonts w:ascii="Arial" w:hAnsi="Arial" w:cs="Arial"/>
          <w:color w:val="000000"/>
          <w:sz w:val="20"/>
          <w:szCs w:val="20"/>
        </w:rPr>
        <w:t>involves</w:t>
      </w:r>
      <w:r w:rsidRPr="007E5A7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specific class </w:t>
      </w:r>
      <w:r w:rsidR="006F004C">
        <w:rPr>
          <w:rFonts w:ascii="Arial" w:hAnsi="Arial" w:cs="Arial"/>
          <w:color w:val="000000"/>
          <w:sz w:val="20"/>
          <w:szCs w:val="20"/>
        </w:rPr>
        <w:t>of assets</w:t>
      </w:r>
      <w:r>
        <w:rPr>
          <w:rFonts w:ascii="Arial" w:hAnsi="Arial" w:cs="Arial"/>
          <w:color w:val="000000"/>
          <w:sz w:val="20"/>
          <w:szCs w:val="20"/>
        </w:rPr>
        <w:t xml:space="preserve"> (e.g. financial instruments, intangible assets, </w:t>
      </w:r>
      <w:r w:rsidR="00EA6314">
        <w:rPr>
          <w:rFonts w:ascii="Arial" w:hAnsi="Arial" w:cs="Arial"/>
          <w:color w:val="000000"/>
          <w:sz w:val="20"/>
          <w:szCs w:val="20"/>
        </w:rPr>
        <w:t>investment</w:t>
      </w:r>
      <w:r w:rsidR="00A44547">
        <w:rPr>
          <w:rFonts w:ascii="Arial" w:hAnsi="Arial" w:cs="Arial"/>
          <w:color w:val="000000"/>
          <w:sz w:val="20"/>
          <w:szCs w:val="20"/>
        </w:rPr>
        <w:t xml:space="preserve"> in subsidiaries, associates or </w:t>
      </w:r>
      <w:proofErr w:type="spellStart"/>
      <w:r w:rsidR="00A44547">
        <w:rPr>
          <w:rFonts w:ascii="Arial" w:hAnsi="Arial" w:cs="Arial"/>
          <w:color w:val="000000"/>
          <w:sz w:val="20"/>
          <w:szCs w:val="20"/>
        </w:rPr>
        <w:t>affliates</w:t>
      </w:r>
      <w:proofErr w:type="spellEnd"/>
      <w:r w:rsidR="00EA6314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Capex</w:t>
      </w:r>
      <w:proofErr w:type="spellEnd"/>
      <w:r w:rsidR="00A44547">
        <w:rPr>
          <w:rFonts w:ascii="Arial" w:hAnsi="Arial" w:cs="Arial"/>
          <w:color w:val="000000"/>
          <w:sz w:val="20"/>
          <w:szCs w:val="20"/>
        </w:rPr>
        <w:t xml:space="preserve"> and</w:t>
      </w:r>
      <w:r>
        <w:rPr>
          <w:rFonts w:ascii="Arial" w:hAnsi="Arial" w:cs="Arial"/>
          <w:color w:val="000000"/>
          <w:sz w:val="20"/>
          <w:szCs w:val="20"/>
        </w:rPr>
        <w:t xml:space="preserve"> an entity</w:t>
      </w:r>
      <w:r w:rsidR="008202C1">
        <w:rPr>
          <w:rFonts w:ascii="Arial" w:hAnsi="Arial" w:cs="Arial"/>
          <w:color w:val="000000"/>
          <w:sz w:val="20"/>
          <w:szCs w:val="20"/>
        </w:rPr>
        <w:t xml:space="preserve"> as a whole</w:t>
      </w:r>
      <w:r w:rsidR="00A44547">
        <w:rPr>
          <w:rFonts w:ascii="Arial" w:hAnsi="Arial" w:cs="Arial"/>
          <w:color w:val="000000"/>
          <w:sz w:val="20"/>
          <w:szCs w:val="20"/>
        </w:rPr>
        <w:t>)</w:t>
      </w:r>
      <w:r w:rsidR="008202C1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EE3011" w:rsidRDefault="00EE3011" w:rsidP="003606C9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</w:p>
    <w:p w:rsidR="00FF1040" w:rsidRDefault="00FF1040" w:rsidP="00FF1040">
      <w:pPr>
        <w:numPr>
          <w:ilvl w:val="0"/>
          <w:numId w:val="1"/>
        </w:numPr>
        <w:shd w:val="clear" w:color="auto" w:fill="FFFFFF"/>
        <w:ind w:left="714" w:hanging="288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CA651B">
        <w:rPr>
          <w:rFonts w:ascii="Arial" w:hAnsi="Arial" w:cs="Arial"/>
          <w:b/>
          <w:color w:val="000000"/>
          <w:sz w:val="20"/>
          <w:szCs w:val="20"/>
        </w:rPr>
        <w:t xml:space="preserve">Coordination with </w:t>
      </w:r>
      <w:r>
        <w:rPr>
          <w:rFonts w:ascii="Arial" w:hAnsi="Arial" w:cs="Arial"/>
          <w:b/>
          <w:color w:val="000000"/>
          <w:sz w:val="20"/>
          <w:szCs w:val="20"/>
        </w:rPr>
        <w:t>due diligence specialist</w:t>
      </w:r>
    </w:p>
    <w:p w:rsidR="006D5427" w:rsidRPr="00EE3011" w:rsidRDefault="00870E60" w:rsidP="00821E72">
      <w:pPr>
        <w:shd w:val="clear" w:color="auto" w:fill="FFFFFF"/>
        <w:ind w:left="714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870E60">
        <w:rPr>
          <w:rFonts w:ascii="Arial" w:hAnsi="Arial" w:cs="Arial"/>
          <w:color w:val="000000"/>
          <w:sz w:val="20"/>
          <w:szCs w:val="20"/>
        </w:rPr>
        <w:t xml:space="preserve">Experience of working with </w:t>
      </w:r>
      <w:r>
        <w:rPr>
          <w:rFonts w:ascii="Arial" w:hAnsi="Arial" w:cs="Arial"/>
          <w:color w:val="000000"/>
          <w:sz w:val="20"/>
          <w:szCs w:val="20"/>
        </w:rPr>
        <w:t xml:space="preserve">due diligence </w:t>
      </w:r>
      <w:r w:rsidR="00850046">
        <w:rPr>
          <w:rFonts w:ascii="Arial" w:hAnsi="Arial" w:cs="Arial"/>
          <w:color w:val="000000"/>
          <w:sz w:val="20"/>
          <w:szCs w:val="20"/>
        </w:rPr>
        <w:t xml:space="preserve">specialists on due diligence work for </w:t>
      </w:r>
      <w:r>
        <w:rPr>
          <w:rFonts w:ascii="Arial" w:hAnsi="Arial" w:cs="Arial"/>
          <w:color w:val="000000"/>
          <w:sz w:val="20"/>
          <w:szCs w:val="20"/>
        </w:rPr>
        <w:t xml:space="preserve">potential </w:t>
      </w:r>
      <w:r w:rsidR="00850046">
        <w:rPr>
          <w:rFonts w:ascii="Arial" w:hAnsi="Arial" w:cs="Arial"/>
          <w:color w:val="000000"/>
          <w:sz w:val="20"/>
          <w:szCs w:val="20"/>
        </w:rPr>
        <w:t>acquisition target</w:t>
      </w:r>
      <w:r>
        <w:rPr>
          <w:rFonts w:ascii="Arial" w:hAnsi="Arial" w:cs="Arial"/>
          <w:color w:val="000000"/>
          <w:sz w:val="20"/>
          <w:szCs w:val="20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360337" w:rsidRPr="00EE3011" w:rsidRDefault="00360337" w:rsidP="00360337">
      <w:pPr>
        <w:rPr>
          <w:rFonts w:ascii="Arial" w:hAnsi="Arial"/>
        </w:rPr>
      </w:pPr>
    </w:p>
    <w:p w:rsidR="003606C9" w:rsidRPr="00EE3011" w:rsidRDefault="003606C9" w:rsidP="002159C8">
      <w:pPr>
        <w:widowControl w:val="0"/>
        <w:pBdr>
          <w:top w:val="single" w:sz="4" w:space="10" w:color="auto"/>
        </w:pBdr>
        <w:autoSpaceDE w:val="0"/>
        <w:autoSpaceDN w:val="0"/>
        <w:adjustRightInd w:val="0"/>
        <w:spacing w:before="60"/>
        <w:jc w:val="both"/>
        <w:rPr>
          <w:rFonts w:ascii="Arial" w:hAnsi="Arial" w:cs="Arial"/>
          <w:b/>
          <w:szCs w:val="20"/>
        </w:rPr>
      </w:pPr>
      <w:r w:rsidRPr="00EE3011">
        <w:rPr>
          <w:rFonts w:ascii="Arial" w:hAnsi="Arial" w:cs="Arial"/>
          <w:b/>
          <w:szCs w:val="20"/>
        </w:rPr>
        <w:t>ACADEMIC QUALIFICATION</w:t>
      </w:r>
    </w:p>
    <w:p w:rsidR="003606C9" w:rsidRDefault="003606C9" w:rsidP="003606C9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262CEE" w:rsidRDefault="00821E72" w:rsidP="003606C9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Member, </w:t>
      </w:r>
      <w:r w:rsidR="00262CEE">
        <w:rPr>
          <w:rFonts w:ascii="Arial" w:hAnsi="Arial" w:cs="Arial"/>
          <w:b/>
          <w:bCs/>
          <w:sz w:val="20"/>
          <w:szCs w:val="20"/>
        </w:rPr>
        <w:t>Association of C</w:t>
      </w:r>
      <w:r w:rsidR="00DD0282">
        <w:rPr>
          <w:rFonts w:ascii="Arial" w:hAnsi="Arial" w:cs="Arial"/>
          <w:b/>
          <w:bCs/>
          <w:sz w:val="20"/>
          <w:szCs w:val="20"/>
        </w:rPr>
        <w:t xml:space="preserve">hartered Certified Accountants </w:t>
      </w:r>
    </w:p>
    <w:p w:rsidR="00262CEE" w:rsidRPr="00D25D92" w:rsidRDefault="006D5427" w:rsidP="003606C9">
      <w:pPr>
        <w:jc w:val="both"/>
        <w:rPr>
          <w:rFonts w:ascii="Arial" w:hAnsi="Arial" w:cs="Arial"/>
          <w:bCs/>
          <w:sz w:val="21"/>
          <w:szCs w:val="20"/>
        </w:rPr>
      </w:pPr>
      <w:r>
        <w:rPr>
          <w:rFonts w:ascii="Arial" w:hAnsi="Arial" w:cs="Arial"/>
          <w:bCs/>
          <w:sz w:val="21"/>
          <w:szCs w:val="20"/>
        </w:rPr>
        <w:t>(</w:t>
      </w:r>
      <w:r w:rsidR="00AC200B">
        <w:rPr>
          <w:rFonts w:ascii="Arial" w:hAnsi="Arial" w:cs="Arial"/>
          <w:bCs/>
          <w:sz w:val="21"/>
          <w:szCs w:val="20"/>
        </w:rPr>
        <w:t xml:space="preserve">Admitted as a member </w:t>
      </w:r>
      <w:r>
        <w:rPr>
          <w:rFonts w:ascii="Arial" w:hAnsi="Arial" w:cs="Arial"/>
          <w:bCs/>
          <w:sz w:val="21"/>
          <w:szCs w:val="20"/>
        </w:rPr>
        <w:t xml:space="preserve">on April 2016) </w:t>
      </w:r>
    </w:p>
    <w:p w:rsidR="00262CEE" w:rsidRDefault="00262CEE" w:rsidP="003606C9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3B76D8" w:rsidRDefault="003B76D8" w:rsidP="003606C9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B76D8">
        <w:rPr>
          <w:rFonts w:ascii="Arial" w:hAnsi="Arial" w:cs="Arial"/>
          <w:b/>
          <w:bCs/>
          <w:sz w:val="20"/>
          <w:szCs w:val="20"/>
        </w:rPr>
        <w:t>Accredited Tax Practitioner</w:t>
      </w:r>
      <w:r w:rsidR="00113B5D">
        <w:rPr>
          <w:rFonts w:ascii="Arial" w:hAnsi="Arial" w:cs="Arial"/>
          <w:b/>
          <w:bCs/>
          <w:sz w:val="20"/>
          <w:szCs w:val="20"/>
        </w:rPr>
        <w:t xml:space="preserve"> (Income T</w:t>
      </w:r>
      <w:r>
        <w:rPr>
          <w:rFonts w:ascii="Arial" w:hAnsi="Arial" w:cs="Arial"/>
          <w:b/>
          <w:bCs/>
          <w:sz w:val="20"/>
          <w:szCs w:val="20"/>
        </w:rPr>
        <w:t>ax)</w:t>
      </w:r>
    </w:p>
    <w:p w:rsidR="003B76D8" w:rsidRPr="00D25D92" w:rsidRDefault="003B76D8" w:rsidP="003606C9">
      <w:pPr>
        <w:jc w:val="both"/>
        <w:rPr>
          <w:rFonts w:ascii="Arial" w:hAnsi="Arial" w:cs="Arial"/>
          <w:bCs/>
          <w:sz w:val="21"/>
          <w:szCs w:val="20"/>
        </w:rPr>
      </w:pPr>
      <w:r w:rsidRPr="00D25D92">
        <w:rPr>
          <w:rFonts w:ascii="Arial" w:hAnsi="Arial" w:cs="Arial"/>
          <w:bCs/>
          <w:sz w:val="21"/>
          <w:szCs w:val="20"/>
        </w:rPr>
        <w:t>(</w:t>
      </w:r>
      <w:r w:rsidR="009559F5" w:rsidRPr="00D25D92">
        <w:rPr>
          <w:rFonts w:ascii="Arial" w:hAnsi="Arial" w:cs="Arial"/>
          <w:bCs/>
          <w:sz w:val="21"/>
          <w:szCs w:val="20"/>
        </w:rPr>
        <w:t>A</w:t>
      </w:r>
      <w:r w:rsidR="00821E72">
        <w:rPr>
          <w:rFonts w:ascii="Arial" w:hAnsi="Arial" w:cs="Arial"/>
          <w:bCs/>
          <w:sz w:val="21"/>
          <w:szCs w:val="20"/>
        </w:rPr>
        <w:t xml:space="preserve">dmitted </w:t>
      </w:r>
      <w:r w:rsidRPr="00D25D92">
        <w:rPr>
          <w:rFonts w:ascii="Arial" w:hAnsi="Arial" w:cs="Arial"/>
          <w:bCs/>
          <w:sz w:val="21"/>
          <w:szCs w:val="20"/>
        </w:rPr>
        <w:t>on September 2015)</w:t>
      </w:r>
    </w:p>
    <w:p w:rsidR="003B76D8" w:rsidRPr="00EE3011" w:rsidRDefault="003B76D8" w:rsidP="003606C9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9169BB" w:rsidRPr="009169BB" w:rsidRDefault="009169BB" w:rsidP="003606C9">
      <w:pPr>
        <w:jc w:val="both"/>
        <w:rPr>
          <w:rFonts w:ascii="Arial" w:hAnsi="Arial" w:cs="Arial"/>
          <w:b/>
          <w:bCs/>
          <w:sz w:val="21"/>
          <w:szCs w:val="20"/>
        </w:rPr>
      </w:pPr>
      <w:r w:rsidRPr="009169BB">
        <w:rPr>
          <w:rFonts w:ascii="Arial" w:hAnsi="Arial" w:cs="Arial"/>
          <w:b/>
          <w:bCs/>
          <w:sz w:val="21"/>
          <w:szCs w:val="20"/>
        </w:rPr>
        <w:t xml:space="preserve">Bachelor of Science in Accounting </w:t>
      </w:r>
      <w:proofErr w:type="gramStart"/>
      <w:r w:rsidRPr="009169BB">
        <w:rPr>
          <w:rFonts w:ascii="Arial" w:hAnsi="Arial" w:cs="Arial"/>
          <w:b/>
          <w:bCs/>
          <w:sz w:val="21"/>
          <w:szCs w:val="20"/>
        </w:rPr>
        <w:t>And</w:t>
      </w:r>
      <w:proofErr w:type="gramEnd"/>
      <w:r w:rsidRPr="009169BB">
        <w:rPr>
          <w:rFonts w:ascii="Arial" w:hAnsi="Arial" w:cs="Arial"/>
          <w:b/>
          <w:bCs/>
          <w:sz w:val="21"/>
          <w:szCs w:val="20"/>
        </w:rPr>
        <w:t xml:space="preserve"> Finance</w:t>
      </w:r>
    </w:p>
    <w:p w:rsidR="003606C9" w:rsidRPr="00CD0C5C" w:rsidRDefault="006B0B73" w:rsidP="003606C9">
      <w:pPr>
        <w:jc w:val="both"/>
        <w:rPr>
          <w:rFonts w:ascii="Arial" w:hAnsi="Arial" w:cs="Arial"/>
          <w:sz w:val="21"/>
          <w:szCs w:val="20"/>
        </w:rPr>
      </w:pPr>
      <w:r w:rsidRPr="00CD0C5C">
        <w:rPr>
          <w:rFonts w:ascii="Arial" w:hAnsi="Arial" w:cs="Arial"/>
          <w:bCs/>
          <w:sz w:val="21"/>
          <w:szCs w:val="20"/>
        </w:rPr>
        <w:t xml:space="preserve">University of London </w:t>
      </w:r>
      <w:r w:rsidR="00CD0C5C" w:rsidRPr="00CD0C5C">
        <w:rPr>
          <w:rFonts w:ascii="Arial" w:hAnsi="Arial" w:cs="Arial"/>
          <w:sz w:val="21"/>
          <w:szCs w:val="20"/>
        </w:rPr>
        <w:t>│</w:t>
      </w:r>
      <w:r w:rsidR="003606C9" w:rsidRPr="00CD0C5C">
        <w:rPr>
          <w:rFonts w:ascii="Arial" w:hAnsi="Arial" w:cs="Arial"/>
          <w:bCs/>
          <w:sz w:val="21"/>
          <w:szCs w:val="20"/>
        </w:rPr>
        <w:t xml:space="preserve"> 2007 – 2009 AT UNI SIM</w:t>
      </w:r>
    </w:p>
    <w:p w:rsidR="003606C9" w:rsidRPr="00EE3011" w:rsidRDefault="003606C9" w:rsidP="003606C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9169BB" w:rsidRPr="009169BB" w:rsidRDefault="009169BB" w:rsidP="003606C9">
      <w:pPr>
        <w:jc w:val="both"/>
        <w:rPr>
          <w:rFonts w:ascii="Arial" w:hAnsi="Arial" w:cs="Arial"/>
          <w:b/>
          <w:bCs/>
          <w:sz w:val="21"/>
          <w:szCs w:val="20"/>
        </w:rPr>
      </w:pPr>
      <w:r w:rsidRPr="009169BB">
        <w:rPr>
          <w:rFonts w:ascii="Arial" w:hAnsi="Arial" w:cs="Arial"/>
          <w:b/>
          <w:bCs/>
          <w:sz w:val="21"/>
          <w:szCs w:val="20"/>
        </w:rPr>
        <w:t>Diploma in Economics</w:t>
      </w:r>
    </w:p>
    <w:p w:rsidR="003606C9" w:rsidRPr="00CD0C5C" w:rsidRDefault="006B0B73" w:rsidP="003606C9">
      <w:pPr>
        <w:jc w:val="both"/>
        <w:rPr>
          <w:rFonts w:ascii="Arial" w:hAnsi="Arial" w:cs="Arial"/>
          <w:sz w:val="21"/>
          <w:szCs w:val="20"/>
        </w:rPr>
      </w:pPr>
      <w:r w:rsidRPr="00CD0C5C">
        <w:rPr>
          <w:rFonts w:ascii="Arial" w:hAnsi="Arial" w:cs="Arial"/>
          <w:bCs/>
          <w:sz w:val="21"/>
          <w:szCs w:val="20"/>
        </w:rPr>
        <w:t xml:space="preserve">University of London </w:t>
      </w:r>
      <w:r w:rsidR="003606C9" w:rsidRPr="00CD0C5C">
        <w:rPr>
          <w:rFonts w:ascii="Arial" w:hAnsi="Arial" w:cs="Arial"/>
          <w:sz w:val="21"/>
          <w:szCs w:val="20"/>
        </w:rPr>
        <w:t>│</w:t>
      </w:r>
      <w:r w:rsidR="003606C9" w:rsidRPr="00CD0C5C">
        <w:rPr>
          <w:rFonts w:ascii="Arial" w:hAnsi="Arial" w:cs="Arial"/>
          <w:bCs/>
          <w:sz w:val="21"/>
          <w:szCs w:val="20"/>
        </w:rPr>
        <w:t xml:space="preserve"> 2005 –2006 AT UNI SIM</w:t>
      </w:r>
    </w:p>
    <w:p w:rsidR="003606C9" w:rsidRPr="00EE3011" w:rsidRDefault="003606C9" w:rsidP="003606C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</w:p>
    <w:p w:rsidR="009169BB" w:rsidRDefault="009169BB" w:rsidP="003606C9">
      <w:pPr>
        <w:pStyle w:val="Heading1"/>
        <w:jc w:val="both"/>
        <w:rPr>
          <w:rFonts w:ascii="Arial" w:hAnsi="Arial" w:cs="Arial"/>
          <w:sz w:val="21"/>
          <w:szCs w:val="20"/>
        </w:rPr>
      </w:pPr>
      <w:r w:rsidRPr="009169BB">
        <w:rPr>
          <w:rFonts w:ascii="Arial" w:hAnsi="Arial" w:cs="Arial"/>
          <w:sz w:val="21"/>
          <w:szCs w:val="20"/>
        </w:rPr>
        <w:t xml:space="preserve">Senior High School (Equivalent to </w:t>
      </w:r>
      <w:proofErr w:type="gramStart"/>
      <w:r w:rsidRPr="009169BB">
        <w:rPr>
          <w:rFonts w:ascii="Arial" w:hAnsi="Arial" w:cs="Arial"/>
          <w:sz w:val="21"/>
          <w:szCs w:val="20"/>
        </w:rPr>
        <w:t>A</w:t>
      </w:r>
      <w:proofErr w:type="gramEnd"/>
      <w:r w:rsidRPr="009169BB">
        <w:rPr>
          <w:rFonts w:ascii="Arial" w:hAnsi="Arial" w:cs="Arial"/>
          <w:sz w:val="21"/>
          <w:szCs w:val="20"/>
        </w:rPr>
        <w:t xml:space="preserve"> Level)</w:t>
      </w:r>
    </w:p>
    <w:p w:rsidR="003606C9" w:rsidRPr="00CD0C5C" w:rsidRDefault="003606C9" w:rsidP="003606C9">
      <w:pPr>
        <w:pStyle w:val="Heading1"/>
        <w:jc w:val="both"/>
        <w:rPr>
          <w:rFonts w:ascii="Arial" w:hAnsi="Arial" w:cs="Arial"/>
          <w:b w:val="0"/>
          <w:sz w:val="21"/>
          <w:szCs w:val="20"/>
        </w:rPr>
      </w:pPr>
      <w:r w:rsidRPr="00CD0C5C">
        <w:rPr>
          <w:rFonts w:ascii="Arial" w:hAnsi="Arial" w:cs="Arial"/>
          <w:b w:val="0"/>
          <w:sz w:val="21"/>
          <w:szCs w:val="20"/>
        </w:rPr>
        <w:t>Wu Han No. 2 Senior high school│ 2002 – 2005</w:t>
      </w:r>
    </w:p>
    <w:p w:rsidR="003606C9" w:rsidRPr="00EE3011" w:rsidRDefault="003606C9" w:rsidP="003606C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</w:p>
    <w:p w:rsidR="009169BB" w:rsidRPr="009169BB" w:rsidRDefault="009169BB" w:rsidP="003606C9">
      <w:pPr>
        <w:pStyle w:val="Heading1"/>
        <w:jc w:val="both"/>
        <w:rPr>
          <w:rFonts w:ascii="Arial" w:hAnsi="Arial" w:cs="Arial"/>
          <w:sz w:val="21"/>
          <w:szCs w:val="20"/>
        </w:rPr>
      </w:pPr>
      <w:r w:rsidRPr="009169BB">
        <w:rPr>
          <w:rFonts w:ascii="Arial" w:hAnsi="Arial" w:cs="Arial"/>
          <w:sz w:val="21"/>
          <w:szCs w:val="20"/>
        </w:rPr>
        <w:t xml:space="preserve">Secondary School (Equivalent to O </w:t>
      </w:r>
      <w:proofErr w:type="gramStart"/>
      <w:r w:rsidRPr="009169BB">
        <w:rPr>
          <w:rFonts w:ascii="Arial" w:hAnsi="Arial" w:cs="Arial"/>
          <w:sz w:val="21"/>
          <w:szCs w:val="20"/>
        </w:rPr>
        <w:t>Level</w:t>
      </w:r>
      <w:proofErr w:type="gramEnd"/>
      <w:r w:rsidRPr="009169BB">
        <w:rPr>
          <w:rFonts w:ascii="Arial" w:hAnsi="Arial" w:cs="Arial"/>
          <w:sz w:val="21"/>
          <w:szCs w:val="20"/>
        </w:rPr>
        <w:t>)</w:t>
      </w:r>
    </w:p>
    <w:p w:rsidR="003606C9" w:rsidRPr="00CD0C5C" w:rsidRDefault="003606C9" w:rsidP="003606C9">
      <w:pPr>
        <w:pStyle w:val="Heading1"/>
        <w:jc w:val="both"/>
        <w:rPr>
          <w:rFonts w:ascii="Arial" w:hAnsi="Arial" w:cs="Arial"/>
          <w:b w:val="0"/>
          <w:sz w:val="21"/>
          <w:szCs w:val="20"/>
        </w:rPr>
      </w:pPr>
      <w:r w:rsidRPr="00CD0C5C">
        <w:rPr>
          <w:rFonts w:ascii="Arial" w:hAnsi="Arial" w:cs="Arial"/>
          <w:b w:val="0"/>
          <w:sz w:val="21"/>
          <w:szCs w:val="20"/>
        </w:rPr>
        <w:t xml:space="preserve">Wu Han </w:t>
      </w:r>
      <w:proofErr w:type="spellStart"/>
      <w:r w:rsidRPr="00CD0C5C">
        <w:rPr>
          <w:rFonts w:ascii="Arial" w:hAnsi="Arial" w:cs="Arial"/>
          <w:b w:val="0"/>
          <w:sz w:val="21"/>
          <w:szCs w:val="20"/>
        </w:rPr>
        <w:t>Qi</w:t>
      </w:r>
      <w:proofErr w:type="spellEnd"/>
      <w:r w:rsidRPr="00CD0C5C">
        <w:rPr>
          <w:rFonts w:ascii="Arial" w:hAnsi="Arial" w:cs="Arial"/>
          <w:b w:val="0"/>
          <w:sz w:val="21"/>
          <w:szCs w:val="20"/>
        </w:rPr>
        <w:t xml:space="preserve"> Yi Secondary school│ 1999 – 2002</w:t>
      </w:r>
    </w:p>
    <w:p w:rsidR="003606C9" w:rsidRPr="00EE3011" w:rsidRDefault="003606C9" w:rsidP="003606C9">
      <w:pPr>
        <w:rPr>
          <w:rFonts w:ascii="Arial" w:hAnsi="Arial"/>
        </w:rPr>
      </w:pPr>
    </w:p>
    <w:sectPr w:rsidR="003606C9" w:rsidRPr="00EE3011" w:rsidSect="009303BE">
      <w:headerReference w:type="default" r:id="rId9"/>
      <w:pgSz w:w="12240" w:h="15840"/>
      <w:pgMar w:top="1176" w:right="1440" w:bottom="1440" w:left="1440" w:header="54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2D0B" w:rsidRDefault="00F12D0B" w:rsidP="000F0CB0">
      <w:r>
        <w:separator/>
      </w:r>
    </w:p>
  </w:endnote>
  <w:endnote w:type="continuationSeparator" w:id="0">
    <w:p w:rsidR="00F12D0B" w:rsidRDefault="00F12D0B" w:rsidP="000F0C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2D0B" w:rsidRDefault="00F12D0B" w:rsidP="000F0CB0">
      <w:r>
        <w:separator/>
      </w:r>
    </w:p>
  </w:footnote>
  <w:footnote w:type="continuationSeparator" w:id="0">
    <w:p w:rsidR="00F12D0B" w:rsidRDefault="00F12D0B" w:rsidP="000F0C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F65" w:rsidRDefault="00516F65">
    <w:pPr>
      <w:pStyle w:val="Header"/>
    </w:pPr>
  </w:p>
  <w:p w:rsidR="00516F65" w:rsidRPr="00360337" w:rsidRDefault="00516F65" w:rsidP="009169BB">
    <w:pPr>
      <w:pStyle w:val="Header"/>
      <w:pBdr>
        <w:bottom w:val="thinThickSmallGap" w:sz="24" w:space="1" w:color="auto"/>
      </w:pBdr>
      <w:tabs>
        <w:tab w:val="center" w:pos="4680"/>
      </w:tabs>
      <w:jc w:val="center"/>
      <w:rPr>
        <w:rFonts w:ascii="Arial" w:hAnsi="Arial" w:cs="Arial"/>
        <w:color w:val="333333"/>
        <w:sz w:val="20"/>
        <w:szCs w:val="20"/>
        <w:bdr w:val="none" w:sz="0" w:space="0" w:color="auto" w:frame="1"/>
        <w:shd w:val="clear" w:color="auto" w:fill="FFFFFF"/>
      </w:rPr>
    </w:pPr>
    <w:r>
      <w:rPr>
        <w:rFonts w:ascii="Bookman Old Style" w:hAnsi="Bookman Old Style" w:cs="FrankRuehl"/>
        <w:b/>
        <w:sz w:val="36"/>
        <w:szCs w:val="44"/>
      </w:rPr>
      <w:t>PROFILE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349BA"/>
    <w:multiLevelType w:val="hybridMultilevel"/>
    <w:tmpl w:val="3B00BF16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2" w:tplc="4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5" w:tplc="4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Arial" w:hint="default"/>
      </w:rPr>
    </w:lvl>
    <w:lvl w:ilvl="8" w:tplc="48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72C6545"/>
    <w:multiLevelType w:val="hybridMultilevel"/>
    <w:tmpl w:val="5232AE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F96819"/>
    <w:multiLevelType w:val="multilevel"/>
    <w:tmpl w:val="B5D8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C22E38"/>
    <w:multiLevelType w:val="hybridMultilevel"/>
    <w:tmpl w:val="325C5356"/>
    <w:lvl w:ilvl="0" w:tplc="1D1C410E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38740080"/>
    <w:multiLevelType w:val="hybridMultilevel"/>
    <w:tmpl w:val="F794B54E"/>
    <w:lvl w:ilvl="0" w:tplc="01F0D2F8">
      <w:start w:val="1"/>
      <w:numFmt w:val="bullet"/>
      <w:lvlText w:val=""/>
      <w:lvlJc w:val="left"/>
      <w:pPr>
        <w:tabs>
          <w:tab w:val="num" w:pos="284"/>
        </w:tabs>
        <w:ind w:left="340" w:hanging="283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400710D8"/>
    <w:multiLevelType w:val="hybridMultilevel"/>
    <w:tmpl w:val="19BA3E7E"/>
    <w:lvl w:ilvl="0" w:tplc="669CD530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46432DB4"/>
    <w:multiLevelType w:val="hybridMultilevel"/>
    <w:tmpl w:val="D8B670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8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6" w:tplc="4809000D">
      <w:start w:val="1"/>
      <w:numFmt w:val="bullet"/>
      <w:lvlText w:val=""/>
      <w:lvlJc w:val="left"/>
      <w:pPr>
        <w:ind w:left="5040" w:hanging="360"/>
      </w:pPr>
      <w:rPr>
        <w:rFonts w:ascii="Wingdings" w:hAnsi="Wingdings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F329AB"/>
    <w:multiLevelType w:val="multilevel"/>
    <w:tmpl w:val="CF4A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924A83"/>
    <w:multiLevelType w:val="hybridMultilevel"/>
    <w:tmpl w:val="09C2C9E4"/>
    <w:lvl w:ilvl="0" w:tplc="4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Arial" w:hint="default"/>
      </w:rPr>
    </w:lvl>
    <w:lvl w:ilvl="2" w:tplc="48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Arial" w:hint="default"/>
      </w:rPr>
    </w:lvl>
    <w:lvl w:ilvl="5" w:tplc="48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Arial" w:hint="default"/>
      </w:rPr>
    </w:lvl>
    <w:lvl w:ilvl="8" w:tplc="48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EF94FA7"/>
    <w:multiLevelType w:val="hybridMultilevel"/>
    <w:tmpl w:val="C6622A98"/>
    <w:lvl w:ilvl="0" w:tplc="A5DC85C8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655B11D6"/>
    <w:multiLevelType w:val="hybridMultilevel"/>
    <w:tmpl w:val="F2E0FB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205EF2"/>
    <w:multiLevelType w:val="hybridMultilevel"/>
    <w:tmpl w:val="7B60B6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BB2A10"/>
    <w:multiLevelType w:val="hybridMultilevel"/>
    <w:tmpl w:val="B9FC8F2E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2" w:tplc="4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D">
      <w:start w:val="1"/>
      <w:numFmt w:val="bullet"/>
      <w:lvlText w:val=""/>
      <w:lvlJc w:val="left"/>
      <w:pPr>
        <w:ind w:left="6480" w:hanging="360"/>
      </w:pPr>
      <w:rPr>
        <w:rFonts w:ascii="Wingdings" w:hAnsi="Wingdings" w:hint="default"/>
      </w:rPr>
    </w:lvl>
    <w:lvl w:ilvl="5" w:tplc="4809000D">
      <w:start w:val="1"/>
      <w:numFmt w:val="bullet"/>
      <w:lvlText w:val=""/>
      <w:lvlJc w:val="left"/>
      <w:pPr>
        <w:ind w:left="720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Arial" w:hint="default"/>
      </w:rPr>
    </w:lvl>
    <w:lvl w:ilvl="8" w:tplc="48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7AC77F6E"/>
    <w:multiLevelType w:val="hybridMultilevel"/>
    <w:tmpl w:val="F89C04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13"/>
  </w:num>
  <w:num w:numId="5">
    <w:abstractNumId w:val="1"/>
  </w:num>
  <w:num w:numId="6">
    <w:abstractNumId w:val="11"/>
  </w:num>
  <w:num w:numId="7">
    <w:abstractNumId w:val="6"/>
  </w:num>
  <w:num w:numId="8">
    <w:abstractNumId w:val="0"/>
  </w:num>
  <w:num w:numId="9">
    <w:abstractNumId w:val="12"/>
  </w:num>
  <w:num w:numId="10">
    <w:abstractNumId w:val="4"/>
  </w:num>
  <w:num w:numId="11">
    <w:abstractNumId w:val="2"/>
  </w:num>
  <w:num w:numId="12">
    <w:abstractNumId w:val="9"/>
  </w:num>
  <w:num w:numId="13">
    <w:abstractNumId w:val="5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606C9"/>
    <w:rsid w:val="00006008"/>
    <w:rsid w:val="0000706B"/>
    <w:rsid w:val="0001126C"/>
    <w:rsid w:val="00021C30"/>
    <w:rsid w:val="00043203"/>
    <w:rsid w:val="00045353"/>
    <w:rsid w:val="00055050"/>
    <w:rsid w:val="0006203A"/>
    <w:rsid w:val="000621EE"/>
    <w:rsid w:val="00070850"/>
    <w:rsid w:val="000814E5"/>
    <w:rsid w:val="0008361B"/>
    <w:rsid w:val="00096C49"/>
    <w:rsid w:val="000B6C6B"/>
    <w:rsid w:val="000E4667"/>
    <w:rsid w:val="000F0CB0"/>
    <w:rsid w:val="000F1304"/>
    <w:rsid w:val="000F1D83"/>
    <w:rsid w:val="000F726D"/>
    <w:rsid w:val="00101874"/>
    <w:rsid w:val="0010330E"/>
    <w:rsid w:val="00106816"/>
    <w:rsid w:val="0011313E"/>
    <w:rsid w:val="00113B5D"/>
    <w:rsid w:val="00135303"/>
    <w:rsid w:val="001533CF"/>
    <w:rsid w:val="00157594"/>
    <w:rsid w:val="00163769"/>
    <w:rsid w:val="001749D5"/>
    <w:rsid w:val="00185BD3"/>
    <w:rsid w:val="001900AD"/>
    <w:rsid w:val="001947C7"/>
    <w:rsid w:val="00196610"/>
    <w:rsid w:val="001A69F5"/>
    <w:rsid w:val="001B037C"/>
    <w:rsid w:val="001B3625"/>
    <w:rsid w:val="001B703F"/>
    <w:rsid w:val="001C14D7"/>
    <w:rsid w:val="001C74E9"/>
    <w:rsid w:val="001D6381"/>
    <w:rsid w:val="001D65A3"/>
    <w:rsid w:val="001E2FF2"/>
    <w:rsid w:val="001E695C"/>
    <w:rsid w:val="001E7244"/>
    <w:rsid w:val="00201004"/>
    <w:rsid w:val="00205CCC"/>
    <w:rsid w:val="002067E4"/>
    <w:rsid w:val="002159C8"/>
    <w:rsid w:val="00216031"/>
    <w:rsid w:val="00226261"/>
    <w:rsid w:val="002363C4"/>
    <w:rsid w:val="00244851"/>
    <w:rsid w:val="002449F2"/>
    <w:rsid w:val="0024687D"/>
    <w:rsid w:val="00255A02"/>
    <w:rsid w:val="00262CEE"/>
    <w:rsid w:val="002631DB"/>
    <w:rsid w:val="00284471"/>
    <w:rsid w:val="002929D7"/>
    <w:rsid w:val="002972D9"/>
    <w:rsid w:val="002973D8"/>
    <w:rsid w:val="002A242F"/>
    <w:rsid w:val="002A36E9"/>
    <w:rsid w:val="002B05B0"/>
    <w:rsid w:val="002B6ABD"/>
    <w:rsid w:val="002C1959"/>
    <w:rsid w:val="002D2C4A"/>
    <w:rsid w:val="002E0033"/>
    <w:rsid w:val="002F433C"/>
    <w:rsid w:val="00300145"/>
    <w:rsid w:val="00300EC6"/>
    <w:rsid w:val="00311EEC"/>
    <w:rsid w:val="00316FE1"/>
    <w:rsid w:val="00317456"/>
    <w:rsid w:val="00330E17"/>
    <w:rsid w:val="00334BEE"/>
    <w:rsid w:val="00360337"/>
    <w:rsid w:val="003606C9"/>
    <w:rsid w:val="00367CC4"/>
    <w:rsid w:val="003743E7"/>
    <w:rsid w:val="00377EB4"/>
    <w:rsid w:val="00383181"/>
    <w:rsid w:val="00383FBE"/>
    <w:rsid w:val="003A1D1A"/>
    <w:rsid w:val="003A58F6"/>
    <w:rsid w:val="003B76D8"/>
    <w:rsid w:val="003D005B"/>
    <w:rsid w:val="003D5594"/>
    <w:rsid w:val="003E69FF"/>
    <w:rsid w:val="004140BE"/>
    <w:rsid w:val="004259E6"/>
    <w:rsid w:val="00466EBD"/>
    <w:rsid w:val="00470B3B"/>
    <w:rsid w:val="00477F07"/>
    <w:rsid w:val="0048760B"/>
    <w:rsid w:val="00493C24"/>
    <w:rsid w:val="0049427C"/>
    <w:rsid w:val="004A0651"/>
    <w:rsid w:val="004A16FF"/>
    <w:rsid w:val="004A63AB"/>
    <w:rsid w:val="004B537D"/>
    <w:rsid w:val="004C0D8D"/>
    <w:rsid w:val="004C59D7"/>
    <w:rsid w:val="004D5CFC"/>
    <w:rsid w:val="004E728A"/>
    <w:rsid w:val="004E75DC"/>
    <w:rsid w:val="004E78EF"/>
    <w:rsid w:val="004F31CD"/>
    <w:rsid w:val="004F32EF"/>
    <w:rsid w:val="004F6A89"/>
    <w:rsid w:val="00504EBE"/>
    <w:rsid w:val="005101F5"/>
    <w:rsid w:val="0051381B"/>
    <w:rsid w:val="00515E8C"/>
    <w:rsid w:val="005161F7"/>
    <w:rsid w:val="00516F65"/>
    <w:rsid w:val="005305D4"/>
    <w:rsid w:val="005413C0"/>
    <w:rsid w:val="00544772"/>
    <w:rsid w:val="00550332"/>
    <w:rsid w:val="005508DE"/>
    <w:rsid w:val="00555E4D"/>
    <w:rsid w:val="00555FC9"/>
    <w:rsid w:val="00560296"/>
    <w:rsid w:val="00564357"/>
    <w:rsid w:val="00572837"/>
    <w:rsid w:val="00575EC8"/>
    <w:rsid w:val="005971BB"/>
    <w:rsid w:val="005A033D"/>
    <w:rsid w:val="005C01F6"/>
    <w:rsid w:val="005C0381"/>
    <w:rsid w:val="005C556E"/>
    <w:rsid w:val="005C6C3F"/>
    <w:rsid w:val="005E6209"/>
    <w:rsid w:val="005F112D"/>
    <w:rsid w:val="005F77FE"/>
    <w:rsid w:val="005F7F50"/>
    <w:rsid w:val="00607B29"/>
    <w:rsid w:val="00615AD9"/>
    <w:rsid w:val="00652A29"/>
    <w:rsid w:val="00662426"/>
    <w:rsid w:val="006634E4"/>
    <w:rsid w:val="006649A2"/>
    <w:rsid w:val="0066569E"/>
    <w:rsid w:val="00670193"/>
    <w:rsid w:val="006714D0"/>
    <w:rsid w:val="006770D1"/>
    <w:rsid w:val="00683164"/>
    <w:rsid w:val="006939C2"/>
    <w:rsid w:val="00694494"/>
    <w:rsid w:val="0069784E"/>
    <w:rsid w:val="006A1A48"/>
    <w:rsid w:val="006A4921"/>
    <w:rsid w:val="006B0258"/>
    <w:rsid w:val="006B0B73"/>
    <w:rsid w:val="006B5CBB"/>
    <w:rsid w:val="006B5F3E"/>
    <w:rsid w:val="006D5427"/>
    <w:rsid w:val="006D71E7"/>
    <w:rsid w:val="006E1105"/>
    <w:rsid w:val="006E11ED"/>
    <w:rsid w:val="006F004C"/>
    <w:rsid w:val="006F777B"/>
    <w:rsid w:val="00704769"/>
    <w:rsid w:val="007324FC"/>
    <w:rsid w:val="00737BE4"/>
    <w:rsid w:val="007432A5"/>
    <w:rsid w:val="007434BB"/>
    <w:rsid w:val="00752970"/>
    <w:rsid w:val="007607E6"/>
    <w:rsid w:val="00760CA4"/>
    <w:rsid w:val="0076222F"/>
    <w:rsid w:val="00766F13"/>
    <w:rsid w:val="00774056"/>
    <w:rsid w:val="00793FFF"/>
    <w:rsid w:val="007973F7"/>
    <w:rsid w:val="007A2045"/>
    <w:rsid w:val="007A235D"/>
    <w:rsid w:val="007A35EE"/>
    <w:rsid w:val="007B233A"/>
    <w:rsid w:val="007B40F6"/>
    <w:rsid w:val="007B4485"/>
    <w:rsid w:val="007C7D55"/>
    <w:rsid w:val="007D65B9"/>
    <w:rsid w:val="007D6722"/>
    <w:rsid w:val="007E29C6"/>
    <w:rsid w:val="007E3697"/>
    <w:rsid w:val="007E5A71"/>
    <w:rsid w:val="007F193D"/>
    <w:rsid w:val="007F1A9C"/>
    <w:rsid w:val="007F52C3"/>
    <w:rsid w:val="008128F7"/>
    <w:rsid w:val="00812C74"/>
    <w:rsid w:val="008202C1"/>
    <w:rsid w:val="00821E72"/>
    <w:rsid w:val="008224FF"/>
    <w:rsid w:val="00824EDB"/>
    <w:rsid w:val="0083300C"/>
    <w:rsid w:val="0083410F"/>
    <w:rsid w:val="00834F23"/>
    <w:rsid w:val="00850046"/>
    <w:rsid w:val="0087083E"/>
    <w:rsid w:val="00870E60"/>
    <w:rsid w:val="008725FB"/>
    <w:rsid w:val="00881433"/>
    <w:rsid w:val="00883A9A"/>
    <w:rsid w:val="0088415B"/>
    <w:rsid w:val="008A2CA0"/>
    <w:rsid w:val="008A5B2A"/>
    <w:rsid w:val="008B2E92"/>
    <w:rsid w:val="008B4172"/>
    <w:rsid w:val="008B7A55"/>
    <w:rsid w:val="008C4C51"/>
    <w:rsid w:val="008D4EDF"/>
    <w:rsid w:val="008E3B35"/>
    <w:rsid w:val="008E49CB"/>
    <w:rsid w:val="008F22EE"/>
    <w:rsid w:val="008F5DCF"/>
    <w:rsid w:val="00905E38"/>
    <w:rsid w:val="00912070"/>
    <w:rsid w:val="009169BB"/>
    <w:rsid w:val="00921DB4"/>
    <w:rsid w:val="00923980"/>
    <w:rsid w:val="00924EA3"/>
    <w:rsid w:val="00925A19"/>
    <w:rsid w:val="00926280"/>
    <w:rsid w:val="009303BE"/>
    <w:rsid w:val="00952C19"/>
    <w:rsid w:val="009559F5"/>
    <w:rsid w:val="00964D2C"/>
    <w:rsid w:val="009717F3"/>
    <w:rsid w:val="00974C98"/>
    <w:rsid w:val="00992346"/>
    <w:rsid w:val="00994401"/>
    <w:rsid w:val="00997B6C"/>
    <w:rsid w:val="009A2C65"/>
    <w:rsid w:val="009E5F96"/>
    <w:rsid w:val="009E65AB"/>
    <w:rsid w:val="009F2F1F"/>
    <w:rsid w:val="009F3C0A"/>
    <w:rsid w:val="009F5519"/>
    <w:rsid w:val="009F7230"/>
    <w:rsid w:val="00A17B62"/>
    <w:rsid w:val="00A27709"/>
    <w:rsid w:val="00A30C05"/>
    <w:rsid w:val="00A44547"/>
    <w:rsid w:val="00A46911"/>
    <w:rsid w:val="00A500AB"/>
    <w:rsid w:val="00A5491A"/>
    <w:rsid w:val="00A67A08"/>
    <w:rsid w:val="00A723B8"/>
    <w:rsid w:val="00A80A36"/>
    <w:rsid w:val="00A81BDC"/>
    <w:rsid w:val="00A87521"/>
    <w:rsid w:val="00AC200B"/>
    <w:rsid w:val="00AC6CD4"/>
    <w:rsid w:val="00AE05C5"/>
    <w:rsid w:val="00AE5415"/>
    <w:rsid w:val="00AF128B"/>
    <w:rsid w:val="00B12818"/>
    <w:rsid w:val="00B2681B"/>
    <w:rsid w:val="00B26FFE"/>
    <w:rsid w:val="00B41620"/>
    <w:rsid w:val="00B444AA"/>
    <w:rsid w:val="00B46B0E"/>
    <w:rsid w:val="00B54D8D"/>
    <w:rsid w:val="00B55B3A"/>
    <w:rsid w:val="00B57AC8"/>
    <w:rsid w:val="00B62D97"/>
    <w:rsid w:val="00B65FAA"/>
    <w:rsid w:val="00B82603"/>
    <w:rsid w:val="00B87FA4"/>
    <w:rsid w:val="00B9120B"/>
    <w:rsid w:val="00B96AB0"/>
    <w:rsid w:val="00BA129B"/>
    <w:rsid w:val="00BB6423"/>
    <w:rsid w:val="00BC201E"/>
    <w:rsid w:val="00BC37BB"/>
    <w:rsid w:val="00BD325A"/>
    <w:rsid w:val="00BD34EE"/>
    <w:rsid w:val="00BD3FD9"/>
    <w:rsid w:val="00BD7C68"/>
    <w:rsid w:val="00BE0C09"/>
    <w:rsid w:val="00BE7885"/>
    <w:rsid w:val="00BF45BA"/>
    <w:rsid w:val="00C07A06"/>
    <w:rsid w:val="00C151A1"/>
    <w:rsid w:val="00C17747"/>
    <w:rsid w:val="00C21227"/>
    <w:rsid w:val="00C33487"/>
    <w:rsid w:val="00C52979"/>
    <w:rsid w:val="00C5738B"/>
    <w:rsid w:val="00C5793C"/>
    <w:rsid w:val="00C6111A"/>
    <w:rsid w:val="00C63DA2"/>
    <w:rsid w:val="00C730CF"/>
    <w:rsid w:val="00C86558"/>
    <w:rsid w:val="00C86E46"/>
    <w:rsid w:val="00C944E5"/>
    <w:rsid w:val="00C96B99"/>
    <w:rsid w:val="00CA3964"/>
    <w:rsid w:val="00CA651B"/>
    <w:rsid w:val="00CB49DD"/>
    <w:rsid w:val="00CB7AA2"/>
    <w:rsid w:val="00CC57CA"/>
    <w:rsid w:val="00CD0C5C"/>
    <w:rsid w:val="00CD47DF"/>
    <w:rsid w:val="00CE37D2"/>
    <w:rsid w:val="00CE6775"/>
    <w:rsid w:val="00CF46E1"/>
    <w:rsid w:val="00D22BA0"/>
    <w:rsid w:val="00D25D92"/>
    <w:rsid w:val="00D350AD"/>
    <w:rsid w:val="00D4799D"/>
    <w:rsid w:val="00D701F6"/>
    <w:rsid w:val="00D717DD"/>
    <w:rsid w:val="00D71DD1"/>
    <w:rsid w:val="00D752DB"/>
    <w:rsid w:val="00D774A8"/>
    <w:rsid w:val="00D774AC"/>
    <w:rsid w:val="00D91042"/>
    <w:rsid w:val="00D918AA"/>
    <w:rsid w:val="00D92413"/>
    <w:rsid w:val="00D9255D"/>
    <w:rsid w:val="00DA1D07"/>
    <w:rsid w:val="00DA7D7A"/>
    <w:rsid w:val="00DB71DF"/>
    <w:rsid w:val="00DC3CF3"/>
    <w:rsid w:val="00DC7DA6"/>
    <w:rsid w:val="00DD0282"/>
    <w:rsid w:val="00DE29FF"/>
    <w:rsid w:val="00DE407B"/>
    <w:rsid w:val="00DF2F5E"/>
    <w:rsid w:val="00E1215E"/>
    <w:rsid w:val="00E23F8B"/>
    <w:rsid w:val="00E32B37"/>
    <w:rsid w:val="00E44D56"/>
    <w:rsid w:val="00E60BF0"/>
    <w:rsid w:val="00E76ADC"/>
    <w:rsid w:val="00E85240"/>
    <w:rsid w:val="00E92A63"/>
    <w:rsid w:val="00EA0CB2"/>
    <w:rsid w:val="00EA6314"/>
    <w:rsid w:val="00EB620A"/>
    <w:rsid w:val="00EC05C4"/>
    <w:rsid w:val="00EC1CD2"/>
    <w:rsid w:val="00ED624A"/>
    <w:rsid w:val="00EE3011"/>
    <w:rsid w:val="00EE444A"/>
    <w:rsid w:val="00EE6C54"/>
    <w:rsid w:val="00EF4B42"/>
    <w:rsid w:val="00F05B0D"/>
    <w:rsid w:val="00F12D0B"/>
    <w:rsid w:val="00F1498E"/>
    <w:rsid w:val="00F22BAB"/>
    <w:rsid w:val="00F233A7"/>
    <w:rsid w:val="00F24C8F"/>
    <w:rsid w:val="00F2678D"/>
    <w:rsid w:val="00F420C1"/>
    <w:rsid w:val="00F552EA"/>
    <w:rsid w:val="00F8176C"/>
    <w:rsid w:val="00F81E57"/>
    <w:rsid w:val="00F84838"/>
    <w:rsid w:val="00F90ACE"/>
    <w:rsid w:val="00F94DC7"/>
    <w:rsid w:val="00FA4440"/>
    <w:rsid w:val="00FB2660"/>
    <w:rsid w:val="00FB2FD7"/>
    <w:rsid w:val="00FB7ACA"/>
    <w:rsid w:val="00FC5BA3"/>
    <w:rsid w:val="00FC693A"/>
    <w:rsid w:val="00FE0E35"/>
    <w:rsid w:val="00FE5AD5"/>
    <w:rsid w:val="00FE6F28"/>
    <w:rsid w:val="00FF1040"/>
    <w:rsid w:val="00FF4D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3606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606C9"/>
    <w:pPr>
      <w:keepNext/>
      <w:widowControl w:val="0"/>
      <w:autoSpaceDE w:val="0"/>
      <w:autoSpaceDN w:val="0"/>
      <w:adjustRightInd w:val="0"/>
      <w:outlineLvl w:val="0"/>
    </w:pPr>
    <w:rPr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3606C9"/>
    <w:pPr>
      <w:keepNext/>
      <w:widowControl w:val="0"/>
      <w:autoSpaceDE w:val="0"/>
      <w:autoSpaceDN w:val="0"/>
      <w:adjustRightInd w:val="0"/>
      <w:outlineLvl w:val="3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06C9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3606C9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unhideWhenUsed/>
    <w:rsid w:val="003606C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06C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06C9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3606C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606C9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606C9"/>
    <w:pPr>
      <w:ind w:left="720"/>
      <w:contextualSpacing/>
    </w:pPr>
  </w:style>
  <w:style w:type="table" w:styleId="TableGrid">
    <w:name w:val="Table Grid"/>
    <w:basedOn w:val="TableNormal"/>
    <w:uiPriority w:val="59"/>
    <w:rsid w:val="003606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06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6C9"/>
    <w:rPr>
      <w:rFonts w:ascii="Tahoma" w:eastAsia="Times New Roman" w:hAnsi="Tahoma" w:cs="Tahoma"/>
      <w:sz w:val="16"/>
      <w:szCs w:val="16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F0C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0CB0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A235D"/>
    <w:rPr>
      <w:color w:val="800080" w:themeColor="followedHyperlink"/>
      <w:u w:val="single"/>
    </w:rPr>
  </w:style>
  <w:style w:type="character" w:customStyle="1" w:styleId="tgc">
    <w:name w:val="_tgc"/>
    <w:basedOn w:val="DefaultParagraphFont"/>
    <w:rsid w:val="009717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3606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606C9"/>
    <w:pPr>
      <w:keepNext/>
      <w:widowControl w:val="0"/>
      <w:autoSpaceDE w:val="0"/>
      <w:autoSpaceDN w:val="0"/>
      <w:adjustRightInd w:val="0"/>
      <w:outlineLvl w:val="0"/>
    </w:pPr>
    <w:rPr>
      <w:b/>
      <w:bCs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606C9"/>
    <w:pPr>
      <w:keepNext/>
      <w:widowControl w:val="0"/>
      <w:autoSpaceDE w:val="0"/>
      <w:autoSpaceDN w:val="0"/>
      <w:adjustRightInd w:val="0"/>
      <w:outlineLvl w:val="3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06C9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3606C9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unhideWhenUsed/>
    <w:rsid w:val="003606C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06C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06C9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3606C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606C9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606C9"/>
    <w:pPr>
      <w:ind w:left="720"/>
      <w:contextualSpacing/>
    </w:pPr>
  </w:style>
  <w:style w:type="table" w:styleId="TableGrid">
    <w:name w:val="Table Grid"/>
    <w:basedOn w:val="TableNormal"/>
    <w:uiPriority w:val="59"/>
    <w:rsid w:val="003606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06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6C9"/>
    <w:rPr>
      <w:rFonts w:ascii="Tahoma" w:eastAsia="Times New Roman" w:hAnsi="Tahoma" w:cs="Tahoma"/>
      <w:sz w:val="16"/>
      <w:szCs w:val="16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F0C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0CB0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A235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chen312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93ADF-D24D-4D05-A80C-A96F61B94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clsf</cp:lastModifiedBy>
  <cp:revision>26</cp:revision>
  <cp:lastPrinted>2015-09-24T06:18:00Z</cp:lastPrinted>
  <dcterms:created xsi:type="dcterms:W3CDTF">2016-08-20T08:56:00Z</dcterms:created>
  <dcterms:modified xsi:type="dcterms:W3CDTF">2017-02-24T14:10:00Z</dcterms:modified>
</cp:coreProperties>
</file>