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Profile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3600689</wp:posOffset>
            </wp:positionH>
            <wp:positionV relativeFrom="page">
              <wp:posOffset>631933</wp:posOffset>
            </wp:positionV>
            <wp:extent cx="1412960" cy="12349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fil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960" cy="12349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en-US"/>
        </w:rPr>
        <w:t>Accomplished Fund Admin Senior Officer who has a history in servicing and managing segregated clients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accounts which its investment portfolios include fixed-income securities, equities, RQFII and structured financial products such as RMBS and syndicated loans. Adept at working within deadlines and liaising with local office and third-party service providers to prepare and deliver annual and interim sets of reports to clients.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bidi w:val="0"/>
      </w:pPr>
      <w:r>
        <w:rPr>
          <w:rtl w:val="0"/>
        </w:rPr>
        <w:t>Fund Admin Senior officer</w:t>
      </w:r>
      <w:r>
        <w:rPr>
          <w:rtl w:val="0"/>
        </w:rPr>
        <w:t xml:space="preserve"> — </w:t>
      </w:r>
      <w:r>
        <w:rPr>
          <w:rtl w:val="0"/>
        </w:rPr>
        <w:t>march 2012 - October 2016</w:t>
      </w:r>
    </w:p>
    <w:p>
      <w:pPr>
        <w:pStyle w:val="Body"/>
        <w:rPr>
          <w:b w:val="1"/>
          <w:bCs w:val="1"/>
          <w:color w:val="7a7a7a"/>
          <w:sz w:val="16"/>
          <w:szCs w:val="16"/>
        </w:rPr>
      </w:pPr>
      <w:r>
        <w:rPr>
          <w:b w:val="1"/>
          <w:bCs w:val="1"/>
          <w:color w:val="7a7a7a"/>
          <w:sz w:val="16"/>
          <w:szCs w:val="16"/>
          <w:rtl w:val="0"/>
          <w:lang w:val="en-US"/>
        </w:rPr>
        <w:t>ST ASSET MANAGEMENT LTD (wholly owned by Temasek Holdings (Private) Limited)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20202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 xml:space="preserve">Process trades for </w:t>
      </w:r>
      <w:r>
        <w:rPr>
          <w:color w:val="202020"/>
          <w:rtl w:val="0"/>
          <w:lang w:val="en-US"/>
        </w:rPr>
        <w:t xml:space="preserve">timely </w:t>
      </w:r>
      <w:r>
        <w:rPr>
          <w:color w:val="202020"/>
          <w:rtl w:val="0"/>
          <w:lang w:val="en-US"/>
        </w:rPr>
        <w:t>settlement</w:t>
      </w:r>
      <w:r>
        <w:rPr>
          <w:color w:val="202020"/>
          <w:rtl w:val="0"/>
          <w:lang w:val="en-US"/>
        </w:rPr>
        <w:t xml:space="preserve"> across various clearing houses (i.e. Clearstream/Euroclear, DTC, European local markets, QFII and Shanghai-Hong Kong Stock Connect)</w:t>
      </w:r>
    </w:p>
    <w:p>
      <w:pPr>
        <w:pStyle w:val="Free Form"/>
        <w:numPr>
          <w:ilvl w:val="1"/>
          <w:numId w:val="2"/>
        </w:numPr>
        <w:bidi w:val="0"/>
        <w:spacing w:after="0"/>
        <w:ind w:right="0"/>
        <w:jc w:val="left"/>
        <w:rPr>
          <w:color w:val="202020"/>
          <w:rtl w:val="0"/>
        </w:rPr>
      </w:pPr>
      <w:r>
        <w:rPr>
          <w:color w:val="202020"/>
          <w:rtl w:val="0"/>
          <w:lang w:val="en-US"/>
        </w:rPr>
        <w:tab/>
        <w:t>Liaise with various brokers and custodian banks to resolve dealing-related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1440" w:right="0" w:hanging="720"/>
        <w:jc w:val="left"/>
        <w:rPr>
          <w:color w:val="202020"/>
          <w:rtl w:val="0"/>
        </w:rPr>
      </w:pPr>
      <w:r>
        <w:rPr>
          <w:color w:val="202020"/>
          <w:rtl w:val="0"/>
          <w:lang w:val="en-US"/>
        </w:rPr>
        <w:t>enquiries by emails and by phone</w:t>
      </w:r>
    </w:p>
    <w:p>
      <w:pPr>
        <w:pStyle w:val="Free Form"/>
        <w:numPr>
          <w:ilvl w:val="1"/>
          <w:numId w:val="2"/>
        </w:numPr>
        <w:bidi w:val="0"/>
        <w:spacing w:after="0"/>
        <w:ind w:right="0"/>
        <w:jc w:val="left"/>
        <w:rPr>
          <w:color w:val="202020"/>
          <w:rtl w:val="0"/>
          <w:lang w:val="en-US"/>
        </w:rPr>
      </w:pPr>
      <w:r>
        <w:rPr>
          <w:color w:val="202020"/>
          <w:rtl w:val="0"/>
          <w:lang w:val="en-US"/>
        </w:rPr>
        <w:t xml:space="preserve">      Prepares weekly investment reports </w:t>
      </w:r>
    </w:p>
    <w:p>
      <w:pPr>
        <w:pStyle w:val="Free Form"/>
        <w:numPr>
          <w:ilvl w:val="1"/>
          <w:numId w:val="2"/>
        </w:numPr>
        <w:bidi w:val="0"/>
        <w:spacing w:after="0"/>
        <w:ind w:right="0"/>
        <w:jc w:val="left"/>
        <w:rPr>
          <w:color w:val="202020"/>
          <w:rtl w:val="0"/>
        </w:rPr>
      </w:pPr>
      <w:r>
        <w:rPr>
          <w:color w:val="202020"/>
          <w:rtl w:val="0"/>
          <w:lang w:val="en-US"/>
        </w:rPr>
        <w:tab/>
        <w:t>Ensuring securities</w:t>
      </w:r>
      <w:r>
        <w:rPr>
          <w:color w:val="202020"/>
          <w:rtl w:val="0"/>
          <w:lang w:val="en-US"/>
        </w:rPr>
        <w:t xml:space="preserve">’ </w:t>
      </w:r>
      <w:r>
        <w:rPr>
          <w:color w:val="202020"/>
          <w:rtl w:val="0"/>
          <w:lang w:val="en-US"/>
        </w:rPr>
        <w:t>prices and cash activities are reconciled correctly in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1440" w:right="0" w:hanging="720"/>
        <w:jc w:val="left"/>
        <w:rPr>
          <w:color w:val="000000"/>
          <w:rtl w:val="0"/>
        </w:rPr>
      </w:pPr>
      <w:r>
        <w:rPr>
          <w:color w:val="202020"/>
          <w:rtl w:val="0"/>
          <w:lang w:val="en-US"/>
        </w:rPr>
        <w:t>month-end NAV reports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>Distributing month-end and year-end NAV rep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0pt;margin-top:103.0pt;width:35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3175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Stephanie Tan Li Fen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10.0pt;margin-top:100.0pt;width:395.0pt;height:2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Stephanie Tan Li Fen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016500" cy="1651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+65 8157 8905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>|       stephanietanlf@gmail.com</w:t>
                            </w:r>
                            <w:r>
                              <w:rPr>
                                <w:rtl w:val="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10.0pt;margin-top:134.0pt;width:395.0pt;height:1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+65 8157 8905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>|       stephanietanlf@gmail.com</w:t>
                      </w:r>
                      <w:r>
                        <w:rPr>
                          <w:rtl w:val="0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color w:val="202020"/>
          <w:rtl w:val="0"/>
          <w:lang w:val="en-US"/>
        </w:rPr>
        <w:t>orts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20202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 xml:space="preserve">Process </w:t>
      </w:r>
      <w:r>
        <w:rPr>
          <w:color w:val="202020"/>
          <w:rtl w:val="0"/>
          <w:lang w:val="en-US"/>
        </w:rPr>
        <w:t>cash deposits, foreign exchanges and fund transfers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>Open trading, custody and cash accounts with brokers and custodian bank</w:t>
      </w:r>
      <w:r>
        <w:rPr>
          <w:color w:val="202020"/>
          <w:rtl w:val="0"/>
          <w:lang w:val="en-US"/>
        </w:rPr>
        <w:t>s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 xml:space="preserve">Inform brokers and banks </w:t>
      </w:r>
      <w:r>
        <w:rPr>
          <w:color w:val="202020"/>
          <w:rtl w:val="0"/>
          <w:lang w:val="en-US"/>
        </w:rPr>
        <w:t xml:space="preserve">any updates on administrative details such as </w:t>
      </w:r>
      <w:r>
        <w:rPr>
          <w:color w:val="202020"/>
          <w:rtl w:val="0"/>
          <w:lang w:val="en-US"/>
        </w:rPr>
        <w:t>change of authorized dealers, settlement instructions and directors</w:t>
      </w:r>
      <w:r>
        <w:rPr>
          <w:color w:val="202020"/>
          <w:rtl w:val="0"/>
        </w:rPr>
        <w:t xml:space="preserve">’ </w:t>
      </w:r>
      <w:r>
        <w:rPr>
          <w:color w:val="202020"/>
          <w:rtl w:val="0"/>
          <w:lang w:val="en-US"/>
        </w:rPr>
        <w:t>resolutions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>Calculations of fund administrative fees (management, custody, accruals, fund services and etc.)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 xml:space="preserve">Ensure all transactions done are properly filed </w:t>
      </w:r>
      <w:r>
        <w:rPr>
          <w:color w:val="202020"/>
          <w:rtl w:val="0"/>
          <w:lang w:val="en-US"/>
        </w:rPr>
        <w:t>for record keeping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>Process opening and closure of segregated clients</w:t>
      </w:r>
      <w:r>
        <w:rPr>
          <w:color w:val="202020"/>
          <w:rtl w:val="0"/>
        </w:rPr>
        <w:t xml:space="preserve">’ </w:t>
      </w:r>
      <w:r>
        <w:rPr>
          <w:color w:val="202020"/>
          <w:rtl w:val="0"/>
          <w:lang w:val="en-US"/>
        </w:rPr>
        <w:t>accounts and broker trading accounts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>Obtain securities</w:t>
      </w:r>
      <w:r>
        <w:rPr>
          <w:color w:val="202020"/>
          <w:rtl w:val="0"/>
          <w:lang w:val="en-US"/>
        </w:rPr>
        <w:t xml:space="preserve">’ </w:t>
      </w:r>
      <w:r>
        <w:rPr>
          <w:color w:val="202020"/>
          <w:rtl w:val="0"/>
          <w:lang w:val="en-US"/>
        </w:rPr>
        <w:t>prices</w:t>
      </w:r>
      <w:r>
        <w:rPr>
          <w:color w:val="202020"/>
          <w:rtl w:val="0"/>
          <w:lang w:val="en-US"/>
        </w:rPr>
        <w:t xml:space="preserve"> from various sources </w:t>
      </w:r>
      <w:r>
        <w:rPr>
          <w:color w:val="202020"/>
          <w:rtl w:val="0"/>
          <w:lang w:val="en-US"/>
        </w:rPr>
        <w:t xml:space="preserve">(i.e brokers and pricing vendors) </w:t>
      </w:r>
      <w:r>
        <w:rPr>
          <w:color w:val="000000"/>
          <w:rtl w:val="0"/>
          <w:lang w:val="en-US"/>
        </w:rPr>
        <w:t>if indicative valuations are not available at Bloomberg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 xml:space="preserve">Disseminate any Corporate Actions (CA) to </w:t>
      </w:r>
      <w:r>
        <w:rPr>
          <w:color w:val="202020"/>
          <w:rtl w:val="0"/>
          <w:lang w:val="en-US"/>
        </w:rPr>
        <w:t>f</w:t>
      </w:r>
      <w:r>
        <w:rPr>
          <w:color w:val="202020"/>
          <w:rtl w:val="0"/>
          <w:lang w:val="de-DE"/>
        </w:rPr>
        <w:t xml:space="preserve">und </w:t>
      </w:r>
      <w:r>
        <w:rPr>
          <w:color w:val="202020"/>
          <w:rtl w:val="0"/>
          <w:lang w:val="en-US"/>
        </w:rPr>
        <w:t>m</w:t>
      </w:r>
      <w:r>
        <w:rPr>
          <w:color w:val="202020"/>
          <w:rtl w:val="0"/>
          <w:lang w:val="en-US"/>
        </w:rPr>
        <w:t>anagers and/or analysts daily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>Ensure CA responses are sent to custodian banks for processes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color w:val="000000"/>
          <w:rtl w:val="0"/>
        </w:rPr>
      </w:pPr>
      <w:r>
        <w:rPr>
          <w:color w:val="202020"/>
          <w:rtl w:val="0"/>
        </w:rPr>
        <w:tab/>
        <w:t>•</w:t>
        <w:tab/>
      </w:r>
      <w:r>
        <w:rPr>
          <w:color w:val="202020"/>
          <w:rtl w:val="0"/>
          <w:lang w:val="en-US"/>
        </w:rPr>
        <w:t>Ensure coupon/dividend payments received punctually</w:t>
      </w:r>
      <w:r>
        <w:rPr>
          <w:color w:val="202020"/>
          <w:rtl w:val="0"/>
          <w:lang w:val="en-US"/>
        </w:rPr>
        <w:t xml:space="preserve"> and liaise with custodian banks and/or brokers if payments are deferred</w:t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rtl w:val="0"/>
        </w:rPr>
      </w:pPr>
      <w:r>
        <w:rPr>
          <w:color w:val="000000"/>
          <w:rtl w:val="0"/>
        </w:rPr>
        <w:tab/>
      </w:r>
      <w:r>
        <w:rPr>
          <w:color w:val="202020"/>
          <w:rtl w:val="0"/>
        </w:rPr>
        <w:t>•</w:t>
        <w:tab/>
      </w:r>
      <w:r>
        <w:rPr>
          <w:color w:val="202020"/>
          <w:rtl w:val="0"/>
          <w:lang w:val="en-US"/>
        </w:rPr>
        <w:t>Monitor the investment discretionary limits</w:t>
      </w:r>
      <w:r>
        <w:rPr>
          <w:color w:val="202020"/>
          <w:rtl w:val="0"/>
          <w:lang w:val="en-US"/>
        </w:rPr>
        <w:t xml:space="preserve"> for certain clients</w:t>
      </w:r>
      <w:r>
        <w:rPr>
          <w:color w:val="202020"/>
          <w:rtl w:val="0"/>
          <w:lang w:val="en-US"/>
        </w:rPr>
        <w:t xml:space="preserve">’ </w:t>
      </w:r>
      <w:r>
        <w:rPr>
          <w:color w:val="202020"/>
          <w:rtl w:val="0"/>
          <w:lang w:val="en-US"/>
        </w:rPr>
        <w:t>accounts</w:t>
      </w:r>
      <w:r>
        <w:rPr>
          <w:color w:val="202020"/>
          <w:rtl w:val="0"/>
        </w:rPr>
        <w:tab/>
      </w:r>
      <w:r>
        <w:rPr>
          <w:color w:val="202020"/>
          <w:rtl w:val="0"/>
        </w:rPr>
        <w:br w:type="page"/>
      </w:r>
    </w:p>
    <w:p>
      <w:pPr>
        <w:pStyle w:val="Free Form"/>
        <w:tabs>
          <w:tab w:val="left" w:pos="220"/>
          <w:tab w:val="left" w:pos="720"/>
        </w:tabs>
        <w:bidi w:val="0"/>
        <w:spacing w:after="0"/>
        <w:ind w:left="720" w:right="0" w:hanging="720"/>
        <w:jc w:val="left"/>
        <w:rPr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1389173</wp:posOffset>
                </wp:positionH>
                <wp:positionV relativeFrom="page">
                  <wp:posOffset>872145</wp:posOffset>
                </wp:positionV>
                <wp:extent cx="5020000" cy="135300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000" cy="13530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Education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/>
                              <w:rPr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University of London (Lead college: London School of Economics and Political Science)</w:t>
                            </w:r>
                          </w:p>
                          <w:p>
                            <w:pPr>
                              <w:pStyle w:val="Body"/>
                              <w:spacing w:after="0"/>
                              <w:rPr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Bachelor of Science in Business and Management - 2012 - 2016</w:t>
                            </w:r>
                            <w:r>
                              <w:rPr/>
                            </w:r>
                          </w:p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</w:tabs>
                              <w:rPr>
                                <w:rFonts w:ascii="Avenir Next" w:cs="Avenir Next" w:hAnsi="Avenir Next" w:eastAsia="Avenir Nex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cs="Avenir Next" w:hAnsi="Avenir Next" w:eastAsia="Avenir Next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0"/>
                              <w:rPr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Nanyang Polytechnic</w:t>
                            </w:r>
                          </w:p>
                          <w:p>
                            <w:pPr>
                              <w:pStyle w:val="Body"/>
                              <w:spacing w:after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Diploma in Fund Management and Administration - 2009 - 2012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09.4pt;margin-top:68.7pt;width:395.3pt;height:106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Education</w:t>
                      </w:r>
                      <w:r/>
                    </w:p>
                    <w:p>
                      <w:pPr>
                        <w:pStyle w:val="Body"/>
                        <w:spacing w:after="0"/>
                        <w:rPr/>
                      </w:pPr>
                      <w:r>
                        <w:rPr>
                          <w:rtl w:val="0"/>
                          <w:lang w:val="en-US"/>
                        </w:rPr>
                        <w:t>University of London (Lead college: London School of Economics and Political Science)</w:t>
                      </w:r>
                    </w:p>
                    <w:p>
                      <w:pPr>
                        <w:pStyle w:val="Body"/>
                        <w:spacing w:after="0"/>
                        <w:rPr/>
                      </w:pPr>
                      <w:r>
                        <w:rPr>
                          <w:rtl w:val="0"/>
                          <w:lang w:val="en-US"/>
                        </w:rPr>
                        <w:t>Bachelor of Science in Business and Management - 2012 - 2016</w:t>
                      </w:r>
                      <w:r>
                        <w:rPr/>
                      </w:r>
                    </w:p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</w:tabs>
                        <w:rPr>
                          <w:rFonts w:ascii="Avenir Next" w:cs="Avenir Next" w:hAnsi="Avenir Next" w:eastAsia="Avenir Nex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cs="Avenir Next" w:hAnsi="Avenir Next" w:eastAsia="Avenir Next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after="0"/>
                        <w:rPr/>
                      </w:pPr>
                      <w:r>
                        <w:rPr>
                          <w:rtl w:val="0"/>
                          <w:lang w:val="en-US"/>
                        </w:rPr>
                        <w:t>Nanyang Polytechnic</w:t>
                      </w:r>
                    </w:p>
                    <w:p>
                      <w:pPr>
                        <w:pStyle w:val="Body"/>
                        <w:spacing w:after="0"/>
                      </w:pPr>
                      <w:r>
                        <w:rPr>
                          <w:rtl w:val="0"/>
                          <w:lang w:val="en-US"/>
                        </w:rPr>
                        <w:t>Diploma in Fund Management and Administration - 2009 - 2012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953"/>
        <w:tab w:val="right" w:pos="7906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0"/>
          <w:tab w:val="left" w:pos="720"/>
        </w:tabs>
        <w:ind w:left="94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  <w:tab w:val="num" w:pos="440"/>
          <w:tab w:val="left" w:pos="720"/>
        </w:tabs>
        <w:ind w:left="116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  <w:tab w:val="num" w:pos="660"/>
          <w:tab w:val="left" w:pos="720"/>
        </w:tabs>
        <w:ind w:left="138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880"/>
        </w:tabs>
        <w:ind w:left="160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100"/>
        </w:tabs>
        <w:ind w:left="182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320"/>
        </w:tabs>
        <w:ind w:left="204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540"/>
        </w:tabs>
        <w:ind w:left="226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760"/>
        </w:tabs>
        <w:ind w:left="248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980"/>
        </w:tabs>
        <w:ind w:left="270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