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1D" w:rsidRPr="006D1135" w:rsidRDefault="00824363" w:rsidP="003E37B2">
      <w:pPr>
        <w:spacing w:before="120"/>
        <w:rPr>
          <w:rFonts w:eastAsiaTheme="minorEastAsia" w:cs="Arial"/>
          <w:b/>
          <w:bCs/>
          <w:color w:val="000000"/>
          <w:sz w:val="23"/>
          <w:szCs w:val="23"/>
          <w:lang w:eastAsia="zh-TW"/>
        </w:rPr>
      </w:pPr>
      <w:r w:rsidRPr="006D1135">
        <w:rPr>
          <w:rFonts w:cs="Arial"/>
          <w:b/>
          <w:bCs/>
          <w:color w:val="000000"/>
          <w:sz w:val="23"/>
          <w:szCs w:val="23"/>
        </w:rPr>
        <w:t xml:space="preserve">TO TSZ YEUNG, Vincent </w:t>
      </w:r>
      <w:r w:rsidRPr="006D1135">
        <w:rPr>
          <w:rFonts w:eastAsiaTheme="minorEastAsia" w:cs="Arial"/>
          <w:bCs/>
          <w:color w:val="000000"/>
          <w:sz w:val="23"/>
          <w:szCs w:val="23"/>
          <w:lang w:eastAsia="zh-TW"/>
        </w:rPr>
        <w:t>(</w:t>
      </w:r>
      <w:r w:rsidRPr="006D1135">
        <w:rPr>
          <w:rFonts w:eastAsiaTheme="minorEastAsia" w:hint="eastAsia"/>
          <w:sz w:val="21"/>
          <w:szCs w:val="21"/>
          <w:lang w:eastAsia="zh-TW"/>
        </w:rPr>
        <w:t>杜子揚</w:t>
      </w:r>
      <w:r w:rsidRPr="006D1135">
        <w:rPr>
          <w:rFonts w:eastAsiaTheme="minorEastAsia" w:hint="eastAsia"/>
          <w:sz w:val="21"/>
          <w:szCs w:val="21"/>
          <w:lang w:eastAsia="zh-TW"/>
        </w:rPr>
        <w:t>)</w:t>
      </w:r>
    </w:p>
    <w:p w:rsidR="00F6451D" w:rsidRPr="006D1135" w:rsidRDefault="00F6451D" w:rsidP="00A67404">
      <w:pPr>
        <w:spacing w:before="240" w:after="120" w:line="360" w:lineRule="auto"/>
        <w:rPr>
          <w:rFonts w:eastAsiaTheme="minorEastAsia"/>
          <w:sz w:val="19"/>
          <w:szCs w:val="19"/>
          <w:lang w:eastAsia="zh-TW"/>
        </w:rPr>
      </w:pPr>
      <w:r w:rsidRPr="006D1135">
        <w:rPr>
          <w:sz w:val="19"/>
          <w:szCs w:val="19"/>
        </w:rPr>
        <w:t xml:space="preserve">Phone: (Mobile) +852 </w:t>
      </w:r>
      <w:r w:rsidR="00824363" w:rsidRPr="006D1135">
        <w:rPr>
          <w:rFonts w:eastAsiaTheme="minorEastAsia" w:hint="eastAsia"/>
          <w:sz w:val="19"/>
          <w:szCs w:val="19"/>
          <w:lang w:eastAsia="zh-TW"/>
        </w:rPr>
        <w:t>9162 8216</w:t>
      </w:r>
      <w:r w:rsidRPr="006D1135">
        <w:rPr>
          <w:sz w:val="19"/>
          <w:szCs w:val="19"/>
        </w:rPr>
        <w:t xml:space="preserve"> </w:t>
      </w:r>
      <w:r w:rsidR="00CD2D2D">
        <w:rPr>
          <w:sz w:val="19"/>
          <w:szCs w:val="19"/>
        </w:rPr>
        <w:br/>
      </w:r>
      <w:r w:rsidRPr="006D1135">
        <w:rPr>
          <w:sz w:val="19"/>
          <w:szCs w:val="19"/>
        </w:rPr>
        <w:t>Email Address:</w:t>
      </w:r>
      <w:r w:rsidR="00824363" w:rsidRPr="006D1135">
        <w:rPr>
          <w:rFonts w:eastAsiaTheme="minorEastAsia" w:hint="eastAsia"/>
          <w:sz w:val="21"/>
          <w:szCs w:val="21"/>
          <w:lang w:eastAsia="zh-TW"/>
        </w:rPr>
        <w:t xml:space="preserve"> </w:t>
      </w:r>
      <w:r w:rsidR="00824363" w:rsidRPr="006D1135">
        <w:rPr>
          <w:rFonts w:eastAsiaTheme="minorEastAsia"/>
          <w:b/>
          <w:color w:val="0070C0"/>
          <w:sz w:val="21"/>
          <w:szCs w:val="21"/>
          <w:u w:val="single"/>
          <w:lang w:eastAsia="zh-TW"/>
        </w:rPr>
        <w:t>cuhkvincent@gmail.com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98"/>
        <w:gridCol w:w="2150"/>
      </w:tblGrid>
      <w:tr w:rsidR="00F95409" w:rsidRPr="006D1135" w:rsidTr="007749DB">
        <w:trPr>
          <w:cantSplit/>
        </w:trPr>
        <w:tc>
          <w:tcPr>
            <w:tcW w:w="3874" w:type="pct"/>
            <w:tcBorders>
              <w:bottom w:val="single" w:sz="4" w:space="0" w:color="auto"/>
            </w:tcBorders>
            <w:vAlign w:val="center"/>
          </w:tcPr>
          <w:p w:rsidR="00F95409" w:rsidRPr="006D1135" w:rsidRDefault="007628D0" w:rsidP="002938C6">
            <w:pPr>
              <w:spacing w:before="100" w:beforeAutospacing="1"/>
              <w:rPr>
                <w:rFonts w:eastAsia="PMingLiU" w:cs="Arial"/>
                <w:b/>
                <w:bCs/>
                <w:color w:val="000000"/>
                <w:sz w:val="23"/>
                <w:szCs w:val="23"/>
                <w:lang w:eastAsia="zh-TW"/>
              </w:rPr>
            </w:pPr>
            <w:r w:rsidRPr="006D1135">
              <w:rPr>
                <w:rFonts w:cs="Arial"/>
                <w:b/>
                <w:bCs/>
                <w:color w:val="000000"/>
                <w:sz w:val="23"/>
                <w:szCs w:val="23"/>
              </w:rPr>
              <w:t xml:space="preserve">Summary / </w:t>
            </w:r>
            <w:r w:rsidR="00F95409" w:rsidRPr="006D1135">
              <w:rPr>
                <w:rFonts w:cs="Arial"/>
                <w:b/>
                <w:bCs/>
                <w:color w:val="000000"/>
                <w:sz w:val="23"/>
                <w:szCs w:val="23"/>
              </w:rPr>
              <w:t>Career Aspiration</w:t>
            </w:r>
          </w:p>
        </w:tc>
        <w:tc>
          <w:tcPr>
            <w:tcW w:w="1126" w:type="pct"/>
            <w:tcBorders>
              <w:bottom w:val="single" w:sz="4" w:space="0" w:color="auto"/>
            </w:tcBorders>
            <w:vAlign w:val="center"/>
          </w:tcPr>
          <w:p w:rsidR="00F95409" w:rsidRPr="006D1135" w:rsidRDefault="00F95409" w:rsidP="002938C6">
            <w:pPr>
              <w:spacing w:before="240"/>
              <w:rPr>
                <w:rFonts w:cs="Arial"/>
                <w:b/>
                <w:bCs/>
                <w:color w:val="000000"/>
                <w:sz w:val="19"/>
                <w:szCs w:val="19"/>
              </w:rPr>
            </w:pPr>
          </w:p>
        </w:tc>
      </w:tr>
      <w:tr w:rsidR="002A54E0" w:rsidRPr="006D1135">
        <w:trPr>
          <w:cantSplit/>
        </w:trPr>
        <w:tc>
          <w:tcPr>
            <w:tcW w:w="5000" w:type="pct"/>
            <w:gridSpan w:val="2"/>
            <w:tcBorders>
              <w:top w:val="single" w:sz="4" w:space="0" w:color="auto"/>
            </w:tcBorders>
            <w:vAlign w:val="center"/>
          </w:tcPr>
          <w:p w:rsidR="009738A3" w:rsidRPr="006D1135" w:rsidRDefault="002F5C70" w:rsidP="002B5ED5">
            <w:pPr>
              <w:spacing w:before="120" w:after="60"/>
              <w:ind w:left="360"/>
              <w:jc w:val="both"/>
              <w:rPr>
                <w:rFonts w:cs="Arial"/>
                <w:bCs/>
                <w:color w:val="000000"/>
                <w:sz w:val="19"/>
                <w:szCs w:val="19"/>
              </w:rPr>
            </w:pPr>
            <w:r>
              <w:rPr>
                <w:rFonts w:cs="Arial"/>
                <w:bCs/>
                <w:color w:val="000000"/>
                <w:sz w:val="18"/>
                <w:szCs w:val="19"/>
              </w:rPr>
              <w:t xml:space="preserve">Having 4 year in house financial and accounting experience in </w:t>
            </w:r>
            <w:r w:rsidR="007628D0" w:rsidRPr="00B64823">
              <w:rPr>
                <w:rFonts w:cs="Arial"/>
                <w:bCs/>
                <w:color w:val="000000"/>
                <w:sz w:val="18"/>
                <w:szCs w:val="19"/>
              </w:rPr>
              <w:t xml:space="preserve">the asset management </w:t>
            </w:r>
            <w:r w:rsidR="001804EC">
              <w:rPr>
                <w:rFonts w:cs="Arial"/>
                <w:bCs/>
                <w:color w:val="000000"/>
                <w:sz w:val="18"/>
                <w:szCs w:val="19"/>
              </w:rPr>
              <w:t>industry and 5</w:t>
            </w:r>
            <w:r>
              <w:rPr>
                <w:rFonts w:cs="Arial"/>
                <w:bCs/>
                <w:color w:val="000000"/>
                <w:sz w:val="18"/>
                <w:szCs w:val="19"/>
              </w:rPr>
              <w:t xml:space="preserve"> year audit experience in PwC</w:t>
            </w:r>
            <w:r w:rsidR="007628D0" w:rsidRPr="00B64823">
              <w:rPr>
                <w:rFonts w:cs="Arial"/>
                <w:bCs/>
                <w:color w:val="000000"/>
                <w:sz w:val="18"/>
                <w:szCs w:val="19"/>
              </w:rPr>
              <w:t xml:space="preserve">, </w:t>
            </w:r>
            <w:r w:rsidR="00EF33D2" w:rsidRPr="00B64823">
              <w:rPr>
                <w:rFonts w:cs="Arial"/>
                <w:bCs/>
                <w:color w:val="000000"/>
                <w:sz w:val="18"/>
                <w:szCs w:val="19"/>
              </w:rPr>
              <w:t>Vincent</w:t>
            </w:r>
            <w:r w:rsidR="007628D0" w:rsidRPr="00B64823">
              <w:rPr>
                <w:rFonts w:cs="Arial"/>
                <w:bCs/>
                <w:color w:val="000000"/>
                <w:sz w:val="18"/>
                <w:szCs w:val="19"/>
              </w:rPr>
              <w:t xml:space="preserve"> wishes to pursue </w:t>
            </w:r>
            <w:r>
              <w:rPr>
                <w:rFonts w:cs="Arial"/>
                <w:bCs/>
                <w:color w:val="000000"/>
                <w:sz w:val="18"/>
                <w:szCs w:val="19"/>
              </w:rPr>
              <w:t>comprehensive role</w:t>
            </w:r>
            <w:r w:rsidR="007628D0" w:rsidRPr="00B64823">
              <w:rPr>
                <w:rFonts w:cs="Arial"/>
                <w:bCs/>
                <w:color w:val="000000"/>
                <w:sz w:val="18"/>
                <w:szCs w:val="19"/>
              </w:rPr>
              <w:t xml:space="preserve"> in the </w:t>
            </w:r>
            <w:r w:rsidR="002B5ED5">
              <w:rPr>
                <w:rFonts w:cs="Arial"/>
                <w:bCs/>
                <w:color w:val="000000"/>
                <w:sz w:val="18"/>
                <w:szCs w:val="19"/>
              </w:rPr>
              <w:t xml:space="preserve">secondary market, </w:t>
            </w:r>
            <w:r>
              <w:rPr>
                <w:rFonts w:cs="Arial"/>
                <w:bCs/>
                <w:color w:val="000000"/>
                <w:sz w:val="18"/>
                <w:szCs w:val="19"/>
              </w:rPr>
              <w:t xml:space="preserve">focusing on fund reporting, operation and the </w:t>
            </w:r>
            <w:r w:rsidR="00FF0D6B">
              <w:rPr>
                <w:rFonts w:cs="Arial"/>
                <w:bCs/>
                <w:color w:val="000000"/>
                <w:sz w:val="18"/>
                <w:szCs w:val="19"/>
              </w:rPr>
              <w:t xml:space="preserve">product </w:t>
            </w:r>
            <w:r>
              <w:rPr>
                <w:rFonts w:cs="Arial"/>
                <w:bCs/>
                <w:color w:val="000000"/>
                <w:sz w:val="18"/>
                <w:szCs w:val="19"/>
              </w:rPr>
              <w:t>development.</w:t>
            </w:r>
            <w:r w:rsidR="00EF33D2" w:rsidRPr="00B64823">
              <w:rPr>
                <w:rFonts w:cs="Arial"/>
                <w:bCs/>
                <w:color w:val="000000"/>
                <w:sz w:val="18"/>
                <w:szCs w:val="19"/>
              </w:rPr>
              <w:t xml:space="preserve"> He</w:t>
            </w:r>
            <w:r w:rsidR="0088097C" w:rsidRPr="00B64823">
              <w:rPr>
                <w:rFonts w:cs="Arial"/>
                <w:bCs/>
                <w:color w:val="000000"/>
                <w:sz w:val="18"/>
                <w:szCs w:val="19"/>
              </w:rPr>
              <w:t xml:space="preserve"> looks for a challenging job </w:t>
            </w:r>
            <w:r>
              <w:rPr>
                <w:rFonts w:cs="Arial"/>
                <w:bCs/>
                <w:color w:val="000000"/>
                <w:sz w:val="18"/>
                <w:szCs w:val="19"/>
              </w:rPr>
              <w:t xml:space="preserve">which could capture the opportunity of the increasing demand over the asset management arisen from the international of China capital market. </w:t>
            </w:r>
            <w:r w:rsidR="00EF33D2" w:rsidRPr="00B64823">
              <w:rPr>
                <w:rFonts w:cs="Arial"/>
                <w:bCs/>
                <w:color w:val="000000"/>
                <w:sz w:val="18"/>
                <w:szCs w:val="19"/>
              </w:rPr>
              <w:t>He</w:t>
            </w:r>
            <w:r w:rsidR="0088097C" w:rsidRPr="00B64823">
              <w:rPr>
                <w:rFonts w:cs="Arial"/>
                <w:bCs/>
                <w:color w:val="000000"/>
                <w:sz w:val="18"/>
                <w:szCs w:val="19"/>
              </w:rPr>
              <w:t xml:space="preserve"> expects an open-for-</w:t>
            </w:r>
            <w:r w:rsidR="00EF33D2" w:rsidRPr="00B64823">
              <w:rPr>
                <w:rFonts w:cs="Arial"/>
                <w:bCs/>
                <w:color w:val="000000"/>
                <w:sz w:val="18"/>
                <w:szCs w:val="19"/>
              </w:rPr>
              <w:t>discussion environment where his</w:t>
            </w:r>
            <w:r w:rsidR="00934F81" w:rsidRPr="00B64823">
              <w:rPr>
                <w:rFonts w:cs="Arial"/>
                <w:bCs/>
                <w:color w:val="000000"/>
                <w:sz w:val="18"/>
                <w:szCs w:val="19"/>
              </w:rPr>
              <w:t xml:space="preserve"> inputs in enhancing</w:t>
            </w:r>
            <w:r w:rsidR="00427461" w:rsidRPr="00B64823">
              <w:rPr>
                <w:rFonts w:cs="Arial"/>
                <w:bCs/>
                <w:color w:val="000000"/>
                <w:sz w:val="18"/>
                <w:szCs w:val="19"/>
              </w:rPr>
              <w:t xml:space="preserve"> business process efficiency </w:t>
            </w:r>
            <w:r w:rsidR="0088097C" w:rsidRPr="00B64823">
              <w:rPr>
                <w:rFonts w:cs="Arial"/>
                <w:bCs/>
                <w:color w:val="000000"/>
                <w:sz w:val="18"/>
                <w:szCs w:val="19"/>
              </w:rPr>
              <w:t xml:space="preserve">are valued. </w:t>
            </w:r>
            <w:r w:rsidR="00EF33D2" w:rsidRPr="00B64823">
              <w:rPr>
                <w:rFonts w:cs="Arial"/>
                <w:bCs/>
                <w:color w:val="000000"/>
                <w:sz w:val="18"/>
                <w:szCs w:val="19"/>
              </w:rPr>
              <w:t>He</w:t>
            </w:r>
            <w:r w:rsidR="0088097C" w:rsidRPr="00B64823">
              <w:rPr>
                <w:rFonts w:cs="Arial"/>
                <w:bCs/>
                <w:color w:val="000000"/>
                <w:sz w:val="18"/>
                <w:szCs w:val="19"/>
              </w:rPr>
              <w:t xml:space="preserve"> also seeks </w:t>
            </w:r>
            <w:r w:rsidR="00811705" w:rsidRPr="00B64823">
              <w:rPr>
                <w:rFonts w:cs="Arial"/>
                <w:bCs/>
                <w:color w:val="000000"/>
                <w:sz w:val="18"/>
                <w:szCs w:val="19"/>
              </w:rPr>
              <w:t xml:space="preserve">short-term </w:t>
            </w:r>
            <w:r w:rsidR="00EF33D2" w:rsidRPr="00B64823">
              <w:rPr>
                <w:rFonts w:cs="Arial"/>
                <w:bCs/>
                <w:color w:val="000000"/>
                <w:sz w:val="18"/>
                <w:szCs w:val="19"/>
              </w:rPr>
              <w:t>out-of-HK</w:t>
            </w:r>
            <w:r w:rsidR="0088097C" w:rsidRPr="00B64823">
              <w:rPr>
                <w:rFonts w:cs="Arial"/>
                <w:bCs/>
                <w:color w:val="000000"/>
                <w:sz w:val="18"/>
                <w:szCs w:val="19"/>
              </w:rPr>
              <w:t xml:space="preserve"> </w:t>
            </w:r>
            <w:r w:rsidR="00EF33D2" w:rsidRPr="00B64823">
              <w:rPr>
                <w:rFonts w:cs="Arial"/>
                <w:bCs/>
                <w:color w:val="000000"/>
                <w:sz w:val="18"/>
                <w:szCs w:val="19"/>
              </w:rPr>
              <w:t>working opportunity in which he</w:t>
            </w:r>
            <w:r w:rsidR="00914579" w:rsidRPr="00B64823">
              <w:rPr>
                <w:rFonts w:cs="Arial"/>
                <w:bCs/>
                <w:color w:val="000000"/>
                <w:sz w:val="18"/>
                <w:szCs w:val="19"/>
              </w:rPr>
              <w:t xml:space="preserve"> can widen </w:t>
            </w:r>
            <w:r w:rsidR="00586567" w:rsidRPr="00B64823">
              <w:rPr>
                <w:rFonts w:cs="Arial"/>
                <w:bCs/>
                <w:color w:val="000000"/>
                <w:sz w:val="18"/>
                <w:szCs w:val="19"/>
              </w:rPr>
              <w:t>his</w:t>
            </w:r>
            <w:r w:rsidR="00914579" w:rsidRPr="00B64823">
              <w:rPr>
                <w:rFonts w:cs="Arial"/>
                <w:bCs/>
                <w:color w:val="000000"/>
                <w:sz w:val="18"/>
                <w:szCs w:val="19"/>
              </w:rPr>
              <w:t xml:space="preserve"> horizon. H</w:t>
            </w:r>
            <w:r w:rsidR="0088097C" w:rsidRPr="00B64823">
              <w:rPr>
                <w:rFonts w:cs="Arial"/>
                <w:bCs/>
                <w:color w:val="000000"/>
                <w:sz w:val="18"/>
                <w:szCs w:val="19"/>
              </w:rPr>
              <w:t xml:space="preserve">e expects to play a key role in the company in </w:t>
            </w:r>
            <w:r w:rsidR="00EF33D2" w:rsidRPr="00B64823">
              <w:rPr>
                <w:rFonts w:cs="Arial"/>
                <w:bCs/>
                <w:color w:val="000000"/>
                <w:sz w:val="18"/>
                <w:szCs w:val="19"/>
              </w:rPr>
              <w:t>3-5</w:t>
            </w:r>
            <w:r w:rsidR="0088097C" w:rsidRPr="00B64823">
              <w:rPr>
                <w:rFonts w:cs="Arial"/>
                <w:bCs/>
                <w:color w:val="000000"/>
                <w:sz w:val="18"/>
                <w:szCs w:val="19"/>
              </w:rPr>
              <w:t xml:space="preserve"> year time.</w:t>
            </w:r>
          </w:p>
        </w:tc>
      </w:tr>
      <w:tr w:rsidR="00F95409" w:rsidRPr="006D1135" w:rsidTr="007749DB">
        <w:trPr>
          <w:cantSplit/>
          <w:trHeight w:hRule="exact" w:val="144"/>
        </w:trPr>
        <w:tc>
          <w:tcPr>
            <w:tcW w:w="3874" w:type="pct"/>
            <w:vAlign w:val="center"/>
          </w:tcPr>
          <w:p w:rsidR="00F95409" w:rsidRPr="006D1135" w:rsidRDefault="00F95409" w:rsidP="002938C6">
            <w:pPr>
              <w:spacing w:before="100" w:beforeAutospacing="1"/>
              <w:rPr>
                <w:rFonts w:cs="Arial"/>
                <w:bCs/>
                <w:color w:val="000000"/>
                <w:sz w:val="15"/>
                <w:szCs w:val="15"/>
              </w:rPr>
            </w:pPr>
          </w:p>
        </w:tc>
        <w:tc>
          <w:tcPr>
            <w:tcW w:w="1126" w:type="pct"/>
            <w:vAlign w:val="center"/>
          </w:tcPr>
          <w:p w:rsidR="00F95409" w:rsidRPr="006D1135" w:rsidRDefault="00F95409" w:rsidP="002938C6">
            <w:pPr>
              <w:spacing w:before="240"/>
              <w:rPr>
                <w:rFonts w:cs="Arial"/>
                <w:b/>
                <w:bCs/>
                <w:color w:val="000000"/>
                <w:sz w:val="19"/>
                <w:szCs w:val="19"/>
              </w:rPr>
            </w:pPr>
          </w:p>
        </w:tc>
      </w:tr>
      <w:tr w:rsidR="00776712" w:rsidRPr="006D1135" w:rsidTr="007749DB">
        <w:trPr>
          <w:cantSplit/>
        </w:trPr>
        <w:tc>
          <w:tcPr>
            <w:tcW w:w="3874" w:type="pct"/>
            <w:tcBorders>
              <w:bottom w:val="single" w:sz="4" w:space="0" w:color="auto"/>
            </w:tcBorders>
            <w:vAlign w:val="center"/>
          </w:tcPr>
          <w:p w:rsidR="00776712" w:rsidRPr="006D1135" w:rsidRDefault="00776712" w:rsidP="00776712">
            <w:pPr>
              <w:spacing w:before="100" w:beforeAutospacing="1"/>
              <w:rPr>
                <w:rFonts w:eastAsia="PMingLiU" w:cs="Arial"/>
                <w:b/>
                <w:bCs/>
                <w:color w:val="000000"/>
                <w:sz w:val="23"/>
                <w:szCs w:val="23"/>
                <w:lang w:eastAsia="zh-TW"/>
              </w:rPr>
            </w:pPr>
            <w:r w:rsidRPr="006D1135">
              <w:rPr>
                <w:rFonts w:cs="Arial"/>
                <w:b/>
                <w:bCs/>
                <w:color w:val="000000"/>
                <w:sz w:val="23"/>
                <w:szCs w:val="23"/>
              </w:rPr>
              <w:t xml:space="preserve">Professional Qualifications </w:t>
            </w:r>
          </w:p>
        </w:tc>
        <w:tc>
          <w:tcPr>
            <w:tcW w:w="1126" w:type="pct"/>
            <w:tcBorders>
              <w:bottom w:val="single" w:sz="4" w:space="0" w:color="auto"/>
            </w:tcBorders>
            <w:vAlign w:val="center"/>
          </w:tcPr>
          <w:p w:rsidR="00776712" w:rsidRPr="006D1135" w:rsidRDefault="00776712" w:rsidP="00776712">
            <w:pPr>
              <w:spacing w:before="240"/>
              <w:rPr>
                <w:rFonts w:cs="Arial"/>
                <w:b/>
                <w:bCs/>
                <w:color w:val="000000"/>
                <w:sz w:val="19"/>
                <w:szCs w:val="19"/>
              </w:rPr>
            </w:pPr>
          </w:p>
        </w:tc>
      </w:tr>
      <w:tr w:rsidR="005017E6" w:rsidRPr="006D1135">
        <w:trPr>
          <w:cantSplit/>
        </w:trPr>
        <w:tc>
          <w:tcPr>
            <w:tcW w:w="5000" w:type="pct"/>
            <w:gridSpan w:val="2"/>
            <w:tcBorders>
              <w:top w:val="single" w:sz="4" w:space="0" w:color="auto"/>
            </w:tcBorders>
            <w:vAlign w:val="center"/>
          </w:tcPr>
          <w:p w:rsidR="005017E6" w:rsidRPr="006D1135" w:rsidRDefault="005017E6" w:rsidP="00F95409">
            <w:pPr>
              <w:spacing w:before="120" w:after="60"/>
              <w:ind w:left="360"/>
              <w:rPr>
                <w:rFonts w:cs="Arial"/>
                <w:color w:val="000000"/>
                <w:sz w:val="19"/>
                <w:szCs w:val="19"/>
              </w:rPr>
            </w:pPr>
            <w:r w:rsidRPr="006D1135">
              <w:rPr>
                <w:rFonts w:cs="Arial"/>
                <w:color w:val="000000"/>
                <w:sz w:val="19"/>
                <w:szCs w:val="19"/>
              </w:rPr>
              <w:t xml:space="preserve">Member of Hong Kong Institute of Certified Public Accountants </w:t>
            </w:r>
          </w:p>
        </w:tc>
      </w:tr>
      <w:tr w:rsidR="00E40A93" w:rsidRPr="006D1135" w:rsidTr="007749DB">
        <w:trPr>
          <w:cantSplit/>
          <w:trHeight w:hRule="exact" w:val="144"/>
        </w:trPr>
        <w:tc>
          <w:tcPr>
            <w:tcW w:w="3874" w:type="pct"/>
            <w:vAlign w:val="center"/>
          </w:tcPr>
          <w:p w:rsidR="00E40A93" w:rsidRPr="006D1135" w:rsidRDefault="00E40A93" w:rsidP="00776712">
            <w:pPr>
              <w:spacing w:before="100" w:beforeAutospacing="1"/>
              <w:rPr>
                <w:rFonts w:cs="Arial"/>
                <w:bCs/>
                <w:color w:val="000000"/>
                <w:sz w:val="15"/>
                <w:szCs w:val="15"/>
              </w:rPr>
            </w:pPr>
          </w:p>
        </w:tc>
        <w:tc>
          <w:tcPr>
            <w:tcW w:w="1126" w:type="pct"/>
            <w:vAlign w:val="center"/>
          </w:tcPr>
          <w:p w:rsidR="00E40A93" w:rsidRPr="006D1135" w:rsidRDefault="00E40A93" w:rsidP="00776712">
            <w:pPr>
              <w:spacing w:before="240"/>
              <w:rPr>
                <w:rFonts w:cs="Arial"/>
                <w:b/>
                <w:bCs/>
                <w:color w:val="000000"/>
                <w:sz w:val="19"/>
                <w:szCs w:val="19"/>
              </w:rPr>
            </w:pPr>
          </w:p>
        </w:tc>
      </w:tr>
      <w:tr w:rsidR="00776712" w:rsidRPr="006D1135" w:rsidTr="007749DB">
        <w:trPr>
          <w:cantSplit/>
        </w:trPr>
        <w:tc>
          <w:tcPr>
            <w:tcW w:w="3874" w:type="pct"/>
            <w:tcBorders>
              <w:bottom w:val="single" w:sz="4" w:space="0" w:color="auto"/>
            </w:tcBorders>
            <w:vAlign w:val="center"/>
          </w:tcPr>
          <w:p w:rsidR="00776712" w:rsidRPr="006D1135" w:rsidRDefault="00776712" w:rsidP="00776712">
            <w:pPr>
              <w:spacing w:before="100" w:beforeAutospacing="1"/>
              <w:rPr>
                <w:rFonts w:eastAsia="PMingLiU" w:cs="Arial"/>
                <w:b/>
                <w:bCs/>
                <w:color w:val="000000"/>
                <w:sz w:val="23"/>
                <w:szCs w:val="23"/>
                <w:lang w:eastAsia="zh-TW"/>
              </w:rPr>
            </w:pPr>
            <w:r w:rsidRPr="006D1135">
              <w:rPr>
                <w:rFonts w:cs="Arial"/>
                <w:b/>
                <w:bCs/>
                <w:color w:val="000000"/>
                <w:sz w:val="23"/>
                <w:szCs w:val="23"/>
              </w:rPr>
              <w:t>Work Experience</w:t>
            </w:r>
          </w:p>
        </w:tc>
        <w:tc>
          <w:tcPr>
            <w:tcW w:w="1126" w:type="pct"/>
            <w:tcBorders>
              <w:bottom w:val="single" w:sz="4" w:space="0" w:color="auto"/>
            </w:tcBorders>
            <w:vAlign w:val="center"/>
          </w:tcPr>
          <w:p w:rsidR="00776712" w:rsidRPr="006D1135" w:rsidRDefault="00776712" w:rsidP="00776712">
            <w:pPr>
              <w:spacing w:before="240"/>
              <w:rPr>
                <w:rFonts w:cs="Arial"/>
                <w:b/>
                <w:bCs/>
                <w:color w:val="000000"/>
                <w:sz w:val="19"/>
                <w:szCs w:val="19"/>
              </w:rPr>
            </w:pPr>
          </w:p>
        </w:tc>
      </w:tr>
      <w:tr w:rsidR="00AA352F" w:rsidRPr="006D1135" w:rsidTr="007749DB">
        <w:trPr>
          <w:cantSplit/>
        </w:trPr>
        <w:tc>
          <w:tcPr>
            <w:tcW w:w="3874" w:type="pct"/>
            <w:tcBorders>
              <w:bottom w:val="single" w:sz="4" w:space="0" w:color="auto"/>
            </w:tcBorders>
            <w:vAlign w:val="center"/>
          </w:tcPr>
          <w:p w:rsidR="00AA352F" w:rsidRPr="006D1135" w:rsidRDefault="00AA352F" w:rsidP="00865484">
            <w:pPr>
              <w:spacing w:before="100" w:beforeAutospacing="1"/>
              <w:rPr>
                <w:rFonts w:cs="Arial"/>
                <w:b/>
                <w:bCs/>
                <w:color w:val="000000"/>
                <w:sz w:val="23"/>
                <w:szCs w:val="23"/>
              </w:rPr>
            </w:pPr>
            <w:r>
              <w:rPr>
                <w:rFonts w:cs="Arial"/>
                <w:b/>
                <w:bCs/>
                <w:color w:val="000000"/>
                <w:sz w:val="23"/>
                <w:szCs w:val="23"/>
              </w:rPr>
              <w:t xml:space="preserve">Finance Manager, </w:t>
            </w:r>
            <w:r w:rsidR="00865484">
              <w:rPr>
                <w:rFonts w:cs="Arial"/>
                <w:b/>
                <w:bCs/>
                <w:color w:val="000000"/>
                <w:sz w:val="23"/>
                <w:szCs w:val="23"/>
              </w:rPr>
              <w:t>CEL Limited</w:t>
            </w:r>
          </w:p>
        </w:tc>
        <w:tc>
          <w:tcPr>
            <w:tcW w:w="1126" w:type="pct"/>
            <w:tcBorders>
              <w:bottom w:val="single" w:sz="4" w:space="0" w:color="auto"/>
            </w:tcBorders>
            <w:vAlign w:val="center"/>
          </w:tcPr>
          <w:p w:rsidR="00AA352F" w:rsidRPr="006D1135" w:rsidRDefault="00440013" w:rsidP="00440013">
            <w:pPr>
              <w:spacing w:before="100" w:beforeAutospacing="1"/>
              <w:jc w:val="right"/>
              <w:rPr>
                <w:rFonts w:cs="Arial"/>
                <w:b/>
                <w:bCs/>
                <w:color w:val="000000"/>
                <w:sz w:val="19"/>
                <w:szCs w:val="19"/>
              </w:rPr>
            </w:pPr>
            <w:r>
              <w:rPr>
                <w:rFonts w:cs="Arial"/>
                <w:color w:val="000000"/>
                <w:sz w:val="19"/>
                <w:szCs w:val="19"/>
              </w:rPr>
              <w:t>Mar 2014</w:t>
            </w:r>
            <w:r w:rsidR="00865484">
              <w:rPr>
                <w:rFonts w:cs="Arial"/>
                <w:color w:val="000000"/>
                <w:sz w:val="19"/>
                <w:szCs w:val="19"/>
              </w:rPr>
              <w:t xml:space="preserve"> -Present</w:t>
            </w:r>
          </w:p>
        </w:tc>
      </w:tr>
      <w:tr w:rsidR="00AA352F" w:rsidRPr="006D1135" w:rsidTr="007749DB">
        <w:trPr>
          <w:cantSplit/>
        </w:trPr>
        <w:tc>
          <w:tcPr>
            <w:tcW w:w="3874" w:type="pct"/>
            <w:vAlign w:val="center"/>
          </w:tcPr>
          <w:p w:rsidR="00805456" w:rsidRDefault="00805456" w:rsidP="00805456">
            <w:pPr>
              <w:jc w:val="both"/>
              <w:rPr>
                <w:rFonts w:cs="Arial"/>
                <w:color w:val="000000"/>
                <w:sz w:val="19"/>
                <w:szCs w:val="19"/>
                <w:u w:val="single"/>
              </w:rPr>
            </w:pPr>
            <w:r>
              <w:rPr>
                <w:rFonts w:cs="Arial"/>
                <w:color w:val="000000"/>
                <w:sz w:val="19"/>
                <w:szCs w:val="19"/>
                <w:u w:val="single"/>
              </w:rPr>
              <w:t>Financial Conglomerate (PE, Secondary market funds, Licensed c</w:t>
            </w:r>
            <w:r w:rsidRPr="006D1135">
              <w:rPr>
                <w:rFonts w:cs="Arial"/>
                <w:color w:val="000000"/>
                <w:sz w:val="19"/>
                <w:szCs w:val="19"/>
                <w:u w:val="single"/>
              </w:rPr>
              <w:t>orporation</w:t>
            </w:r>
            <w:r>
              <w:rPr>
                <w:rFonts w:cs="Arial"/>
                <w:color w:val="000000"/>
                <w:sz w:val="19"/>
                <w:szCs w:val="19"/>
                <w:u w:val="single"/>
              </w:rPr>
              <w:t>)</w:t>
            </w:r>
          </w:p>
          <w:p w:rsidR="00B64823" w:rsidRDefault="00B64823" w:rsidP="00805456">
            <w:pPr>
              <w:jc w:val="both"/>
              <w:rPr>
                <w:rFonts w:cs="Arial"/>
                <w:color w:val="000000"/>
                <w:sz w:val="18"/>
                <w:szCs w:val="19"/>
              </w:rPr>
            </w:pPr>
            <w:r>
              <w:rPr>
                <w:rFonts w:cs="Arial"/>
                <w:color w:val="000000"/>
                <w:sz w:val="19"/>
                <w:szCs w:val="19"/>
                <w:u w:val="single"/>
              </w:rPr>
              <w:t>Focusing on Secondary market funds in asset management arm</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prepare financial statements and fully responsible for the audit, tax and advisory matters of secondary market funds (QFII/RQFII, Cayman h</w:t>
            </w:r>
            <w:r w:rsidR="00EB2798">
              <w:rPr>
                <w:rFonts w:cs="Arial"/>
                <w:color w:val="000000"/>
                <w:sz w:val="18"/>
                <w:szCs w:val="19"/>
              </w:rPr>
              <w:t>edge fund, Quantitative fund) related to secondary market funds</w:t>
            </w:r>
            <w:r w:rsidRPr="00805456">
              <w:rPr>
                <w:rFonts w:cs="Arial"/>
                <w:color w:val="000000"/>
                <w:sz w:val="18"/>
                <w:szCs w:val="19"/>
              </w:rPr>
              <w:t xml:space="preserve"> and proprietary trade portfolio in both Asset Management Department and Investment Management Department</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provide finance and accounting advisory services to secondary market funds/investments in Asset Management Department and Investment Management Department, including client/seed money injection &amp; redemption, fund setup cost arrangement, trade/IPO verification, information support to client request</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 xml:space="preserve">To Liaise with Asset Management Department for any matters relating to fund setup/new product launch, including reviewing the term of the offering memorandum, advise the on the management fee structure, fee collection process and impact on the group balance sheet (on/off balance sheet) </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perform independent review over Fund NAV reconciliation (Internal system record vs external administrator record) prepared by the Operation Department, verify the fee calculation/accruals record and monitor the collection of various fees by the group companies (for example, management and trailer fee incurred within the secondary market fund/proprietary trade portfolio)</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supervise and review the journal entries and financial statements prepared by accounting officers on the Proprietary trade portfolio</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prepare monthly AUM and fund performance summary of each funds for the management reporting purpose</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prepare monthly FRR of the Investment Manager (SFC licensed corporation) and monitor its Liquid Capital requirement</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assist development of the accounting system - Oracle and oversee system integration process;</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assist development and incorporate the NAV reconciliation system - LineData  into our existing system like daily reporting/monthly reporting requirement</w:t>
            </w:r>
          </w:p>
          <w:p w:rsidR="00865484" w:rsidRPr="00805456" w:rsidRDefault="00865484" w:rsidP="00865484">
            <w:pPr>
              <w:numPr>
                <w:ilvl w:val="1"/>
                <w:numId w:val="8"/>
              </w:numPr>
              <w:tabs>
                <w:tab w:val="clear" w:pos="1800"/>
                <w:tab w:val="num" w:pos="720"/>
              </w:tabs>
              <w:ind w:left="720"/>
              <w:jc w:val="both"/>
              <w:rPr>
                <w:rFonts w:cs="Arial"/>
                <w:color w:val="000000"/>
                <w:sz w:val="18"/>
                <w:szCs w:val="19"/>
              </w:rPr>
            </w:pPr>
            <w:r w:rsidRPr="00805456">
              <w:rPr>
                <w:rFonts w:cs="Arial"/>
                <w:color w:val="000000"/>
                <w:sz w:val="18"/>
                <w:szCs w:val="19"/>
              </w:rPr>
              <w:t>To assist Department Director to manage CEL interim and annual audit process and preparation of schedules to facilitate completion of group audit</w:t>
            </w:r>
            <w:r w:rsidR="000D465D">
              <w:rPr>
                <w:rFonts w:cs="Arial"/>
                <w:color w:val="000000"/>
                <w:sz w:val="18"/>
                <w:szCs w:val="19"/>
              </w:rPr>
              <w:t xml:space="preserve"> </w:t>
            </w:r>
          </w:p>
          <w:p w:rsidR="00CF6DE0" w:rsidRPr="00805456" w:rsidRDefault="00CF6DE0" w:rsidP="0003406A">
            <w:pPr>
              <w:ind w:left="360"/>
              <w:jc w:val="both"/>
              <w:rPr>
                <w:rFonts w:cs="Arial"/>
                <w:color w:val="000000"/>
                <w:sz w:val="18"/>
                <w:szCs w:val="19"/>
                <w:u w:val="single"/>
              </w:rPr>
            </w:pPr>
          </w:p>
        </w:tc>
        <w:tc>
          <w:tcPr>
            <w:tcW w:w="1126" w:type="pct"/>
            <w:vAlign w:val="center"/>
          </w:tcPr>
          <w:p w:rsidR="00AA352F" w:rsidRPr="00AA352F" w:rsidRDefault="00AA352F" w:rsidP="00AA352F">
            <w:pPr>
              <w:spacing w:before="120" w:after="60"/>
              <w:jc w:val="both"/>
              <w:rPr>
                <w:rFonts w:cs="Arial"/>
                <w:color w:val="000000"/>
                <w:sz w:val="19"/>
                <w:szCs w:val="19"/>
                <w:u w:val="single"/>
              </w:rPr>
            </w:pPr>
          </w:p>
        </w:tc>
      </w:tr>
    </w:tbl>
    <w:p w:rsidR="000D465D" w:rsidRDefault="000D465D">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98"/>
        <w:gridCol w:w="2150"/>
      </w:tblGrid>
      <w:tr w:rsidR="00776712" w:rsidRPr="006D1135" w:rsidTr="007749DB">
        <w:trPr>
          <w:cantSplit/>
          <w:trHeight w:val="386"/>
        </w:trPr>
        <w:tc>
          <w:tcPr>
            <w:tcW w:w="3874" w:type="pct"/>
            <w:tcBorders>
              <w:top w:val="single" w:sz="4" w:space="0" w:color="auto"/>
            </w:tcBorders>
            <w:vAlign w:val="center"/>
          </w:tcPr>
          <w:p w:rsidR="00776712" w:rsidRPr="006D1135" w:rsidRDefault="00B57EA6" w:rsidP="00776712">
            <w:pPr>
              <w:spacing w:before="100" w:beforeAutospacing="1"/>
              <w:rPr>
                <w:rFonts w:cs="Arial"/>
                <w:b/>
                <w:color w:val="000000"/>
                <w:sz w:val="19"/>
                <w:szCs w:val="19"/>
              </w:rPr>
            </w:pPr>
            <w:r w:rsidRPr="006D1135">
              <w:rPr>
                <w:rFonts w:cs="Arial"/>
                <w:b/>
                <w:bCs/>
                <w:color w:val="000000"/>
                <w:sz w:val="23"/>
                <w:szCs w:val="23"/>
              </w:rPr>
              <w:lastRenderedPageBreak/>
              <w:t>Work Experience</w:t>
            </w:r>
            <w:r>
              <w:rPr>
                <w:rFonts w:cs="Arial"/>
                <w:b/>
                <w:bCs/>
                <w:color w:val="000000"/>
                <w:sz w:val="23"/>
                <w:szCs w:val="23"/>
              </w:rPr>
              <w:t xml:space="preserve"> (Continued)</w:t>
            </w:r>
          </w:p>
        </w:tc>
        <w:tc>
          <w:tcPr>
            <w:tcW w:w="1126" w:type="pct"/>
            <w:tcBorders>
              <w:top w:val="single" w:sz="4" w:space="0" w:color="auto"/>
            </w:tcBorders>
            <w:vAlign w:val="center"/>
          </w:tcPr>
          <w:p w:rsidR="00776712" w:rsidRPr="006D1135" w:rsidRDefault="00776712" w:rsidP="00AA352F">
            <w:pPr>
              <w:spacing w:before="100" w:beforeAutospacing="1"/>
              <w:jc w:val="right"/>
              <w:rPr>
                <w:rFonts w:cs="Arial"/>
                <w:color w:val="000000"/>
                <w:sz w:val="19"/>
                <w:szCs w:val="19"/>
              </w:rPr>
            </w:pPr>
          </w:p>
        </w:tc>
      </w:tr>
      <w:tr w:rsidR="006C2D08" w:rsidRPr="006D1135" w:rsidTr="007749DB">
        <w:trPr>
          <w:cantSplit/>
          <w:trHeight w:val="386"/>
        </w:trPr>
        <w:tc>
          <w:tcPr>
            <w:tcW w:w="3874" w:type="pct"/>
            <w:tcBorders>
              <w:top w:val="single" w:sz="4" w:space="0" w:color="auto"/>
            </w:tcBorders>
            <w:vAlign w:val="center"/>
          </w:tcPr>
          <w:p w:rsidR="006C2D08" w:rsidRPr="006D1135" w:rsidRDefault="006C2D08" w:rsidP="00D13B68">
            <w:pPr>
              <w:spacing w:before="100" w:beforeAutospacing="1"/>
              <w:rPr>
                <w:rFonts w:cs="Arial"/>
                <w:b/>
                <w:bCs/>
                <w:color w:val="000000"/>
                <w:sz w:val="23"/>
                <w:szCs w:val="23"/>
              </w:rPr>
            </w:pPr>
            <w:r>
              <w:rPr>
                <w:rFonts w:cs="Arial"/>
                <w:b/>
                <w:bCs/>
                <w:color w:val="000000"/>
                <w:sz w:val="23"/>
                <w:szCs w:val="23"/>
              </w:rPr>
              <w:t>Finance Manager, CSOP Asset management limited</w:t>
            </w:r>
          </w:p>
        </w:tc>
        <w:tc>
          <w:tcPr>
            <w:tcW w:w="1126" w:type="pct"/>
            <w:tcBorders>
              <w:top w:val="single" w:sz="4" w:space="0" w:color="auto"/>
            </w:tcBorders>
            <w:vAlign w:val="center"/>
          </w:tcPr>
          <w:p w:rsidR="006C2D08" w:rsidRPr="006D1135" w:rsidRDefault="006C2D08" w:rsidP="00D13B68">
            <w:pPr>
              <w:spacing w:before="100" w:beforeAutospacing="1"/>
              <w:jc w:val="right"/>
              <w:rPr>
                <w:rFonts w:cs="Arial"/>
                <w:b/>
                <w:bCs/>
                <w:color w:val="000000"/>
                <w:sz w:val="19"/>
                <w:szCs w:val="19"/>
              </w:rPr>
            </w:pPr>
            <w:r w:rsidRPr="009B266C">
              <w:rPr>
                <w:rFonts w:cs="Arial"/>
                <w:color w:val="000000"/>
                <w:sz w:val="19"/>
                <w:szCs w:val="19"/>
              </w:rPr>
              <w:t xml:space="preserve">May 2012 </w:t>
            </w:r>
            <w:r>
              <w:rPr>
                <w:rFonts w:cs="Arial"/>
                <w:color w:val="000000"/>
                <w:sz w:val="19"/>
                <w:szCs w:val="19"/>
              </w:rPr>
              <w:t>–</w:t>
            </w:r>
            <w:r w:rsidRPr="009B266C">
              <w:rPr>
                <w:rFonts w:cs="Arial"/>
                <w:color w:val="000000"/>
                <w:sz w:val="19"/>
                <w:szCs w:val="19"/>
              </w:rPr>
              <w:t xml:space="preserve"> </w:t>
            </w:r>
            <w:r>
              <w:rPr>
                <w:rFonts w:cs="Arial"/>
                <w:color w:val="000000"/>
                <w:sz w:val="19"/>
                <w:szCs w:val="19"/>
              </w:rPr>
              <w:t>Mar 2014</w:t>
            </w:r>
          </w:p>
        </w:tc>
      </w:tr>
      <w:tr w:rsidR="006C2D08" w:rsidRPr="006D1135" w:rsidTr="007749DB">
        <w:trPr>
          <w:cantSplit/>
          <w:trHeight w:val="386"/>
        </w:trPr>
        <w:tc>
          <w:tcPr>
            <w:tcW w:w="3874" w:type="pct"/>
            <w:tcBorders>
              <w:top w:val="single" w:sz="4" w:space="0" w:color="auto"/>
            </w:tcBorders>
            <w:vAlign w:val="center"/>
          </w:tcPr>
          <w:p w:rsidR="006C2D08" w:rsidRPr="00447608" w:rsidRDefault="006C2D08" w:rsidP="00D13B68">
            <w:pPr>
              <w:spacing w:before="120" w:after="60"/>
              <w:jc w:val="both"/>
              <w:rPr>
                <w:rFonts w:cs="Arial"/>
                <w:color w:val="000000"/>
                <w:sz w:val="18"/>
                <w:szCs w:val="19"/>
                <w:u w:val="single"/>
              </w:rPr>
            </w:pPr>
            <w:r w:rsidRPr="00447608">
              <w:rPr>
                <w:rFonts w:cs="Arial"/>
                <w:color w:val="000000"/>
                <w:sz w:val="18"/>
                <w:szCs w:val="19"/>
                <w:u w:val="single"/>
              </w:rPr>
              <w:t>Licensed Corporation/Hedge Fund: CSOP Asset Management Ltd</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Prepare daily cash position report and fund performance report for the management review</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Conduct and review the daily settlement process for the funds’ transactions</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Prepare and review the daily/monthly fee calculation</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Responsible for the NAV reconciliation of the funds and report to the fund director on monthly basis</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Play a major role in ad-hoc project with involvement in coordinating  internally with client solution team/sales/portfolio manager/compliance, and externally with the administrator and auditor in Fund pass-porting, channel management, risk management, valuation policy update and regulatory update</w:t>
            </w:r>
          </w:p>
          <w:p w:rsidR="006C2D08" w:rsidRPr="00447608" w:rsidRDefault="006C2D08" w:rsidP="00D13B68">
            <w:pPr>
              <w:numPr>
                <w:ilvl w:val="1"/>
                <w:numId w:val="8"/>
              </w:numPr>
              <w:tabs>
                <w:tab w:val="clear" w:pos="1800"/>
                <w:tab w:val="num" w:pos="720"/>
              </w:tabs>
              <w:ind w:left="720"/>
              <w:jc w:val="both"/>
              <w:rPr>
                <w:rFonts w:cs="Arial"/>
                <w:color w:val="000000"/>
                <w:sz w:val="18"/>
                <w:szCs w:val="19"/>
                <w:u w:val="single"/>
              </w:rPr>
            </w:pPr>
            <w:r w:rsidRPr="00447608">
              <w:rPr>
                <w:rFonts w:cs="Arial"/>
                <w:color w:val="000000"/>
                <w:sz w:val="18"/>
                <w:szCs w:val="19"/>
              </w:rPr>
              <w:t>The “Fund representative” in the department to answer different enquiries channelled from sales team/ client solution team/compliance team in relation to CSOP’s managed fund</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Assist and advise in the project in corporation cash flow management development including receivable management, departmental budget monitoring, overseeing the cash position and the expenses claiming procedures and co-ordinate with banker for settlement</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Liaison with the administrators for issues over the fund NAV and the payment approval process</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Responsible for the Corporation accounting including preparation of the daily accounting record and the monthly consolidated financial statements and report the findings to the CEO in the HK company and also designated person in the PRC Parent company</w:t>
            </w:r>
          </w:p>
          <w:p w:rsidR="006C2D08" w:rsidRPr="00447608" w:rsidRDefault="006C2D08" w:rsidP="00D13B68">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Liaise with the PRC Parent company for the QDII fee settlement</w:t>
            </w:r>
          </w:p>
          <w:p w:rsidR="006C2D08" w:rsidRPr="00AA352F" w:rsidRDefault="006C2D08" w:rsidP="00D13B68">
            <w:pPr>
              <w:ind w:left="360"/>
              <w:jc w:val="both"/>
              <w:rPr>
                <w:rFonts w:cs="Arial"/>
                <w:color w:val="000000"/>
                <w:sz w:val="19"/>
                <w:szCs w:val="19"/>
                <w:u w:val="single"/>
              </w:rPr>
            </w:pPr>
          </w:p>
        </w:tc>
        <w:tc>
          <w:tcPr>
            <w:tcW w:w="1126" w:type="pct"/>
            <w:tcBorders>
              <w:top w:val="single" w:sz="4" w:space="0" w:color="auto"/>
            </w:tcBorders>
            <w:vAlign w:val="center"/>
          </w:tcPr>
          <w:p w:rsidR="006C2D08" w:rsidRPr="00AA352F" w:rsidRDefault="006C2D08" w:rsidP="00D13B68">
            <w:pPr>
              <w:spacing w:before="120" w:after="60"/>
              <w:jc w:val="both"/>
              <w:rPr>
                <w:rFonts w:cs="Arial"/>
                <w:color w:val="000000"/>
                <w:sz w:val="19"/>
                <w:szCs w:val="19"/>
                <w:u w:val="single"/>
              </w:rPr>
            </w:pPr>
          </w:p>
        </w:tc>
      </w:tr>
      <w:tr w:rsidR="00B57EA6" w:rsidRPr="006D1135" w:rsidTr="007749DB">
        <w:trPr>
          <w:cantSplit/>
          <w:trHeight w:val="386"/>
        </w:trPr>
        <w:tc>
          <w:tcPr>
            <w:tcW w:w="3874" w:type="pct"/>
            <w:vAlign w:val="center"/>
          </w:tcPr>
          <w:p w:rsidR="00B57EA6" w:rsidRPr="006D1135" w:rsidRDefault="00B57EA6" w:rsidP="00AC4929">
            <w:pPr>
              <w:spacing w:before="100" w:beforeAutospacing="1"/>
              <w:rPr>
                <w:rFonts w:cs="Arial"/>
                <w:b/>
                <w:color w:val="000000"/>
                <w:sz w:val="19"/>
                <w:szCs w:val="19"/>
              </w:rPr>
            </w:pPr>
            <w:r w:rsidRPr="006D1135">
              <w:rPr>
                <w:rFonts w:cs="Arial"/>
                <w:b/>
                <w:color w:val="000000"/>
                <w:sz w:val="19"/>
                <w:szCs w:val="19"/>
              </w:rPr>
              <w:t>Senior Associate, Financial Services, PricewaterhouseCoopers</w:t>
            </w:r>
          </w:p>
        </w:tc>
        <w:tc>
          <w:tcPr>
            <w:tcW w:w="1126" w:type="pct"/>
            <w:vAlign w:val="center"/>
          </w:tcPr>
          <w:p w:rsidR="00B57EA6" w:rsidRPr="006D1135" w:rsidRDefault="00B57EA6" w:rsidP="00AC4929">
            <w:pPr>
              <w:spacing w:before="100" w:beforeAutospacing="1"/>
              <w:jc w:val="right"/>
              <w:rPr>
                <w:rFonts w:cs="Arial"/>
                <w:color w:val="000000"/>
                <w:sz w:val="19"/>
                <w:szCs w:val="19"/>
              </w:rPr>
            </w:pPr>
            <w:r w:rsidRPr="006D1135">
              <w:rPr>
                <w:rFonts w:cs="Arial"/>
                <w:color w:val="000000"/>
                <w:sz w:val="19"/>
                <w:szCs w:val="19"/>
              </w:rPr>
              <w:t xml:space="preserve">Sep 2007 – </w:t>
            </w:r>
            <w:r>
              <w:rPr>
                <w:rFonts w:cs="Arial"/>
                <w:color w:val="000000"/>
                <w:sz w:val="19"/>
                <w:szCs w:val="19"/>
              </w:rPr>
              <w:t>May 2012</w:t>
            </w:r>
          </w:p>
        </w:tc>
      </w:tr>
      <w:tr w:rsidR="00B57EA6" w:rsidRPr="006D1135">
        <w:trPr>
          <w:cantSplit/>
        </w:trPr>
        <w:tc>
          <w:tcPr>
            <w:tcW w:w="5000" w:type="pct"/>
            <w:gridSpan w:val="2"/>
            <w:vAlign w:val="center"/>
          </w:tcPr>
          <w:p w:rsidR="00B57EA6" w:rsidRPr="00447608" w:rsidRDefault="00140D9C" w:rsidP="00B57EA6">
            <w:pPr>
              <w:spacing w:before="120" w:after="60"/>
              <w:jc w:val="both"/>
              <w:rPr>
                <w:rFonts w:cs="Arial"/>
                <w:color w:val="000000"/>
                <w:sz w:val="18"/>
                <w:szCs w:val="19"/>
                <w:u w:val="single"/>
              </w:rPr>
            </w:pPr>
            <w:r w:rsidRPr="00447608">
              <w:rPr>
                <w:rFonts w:cs="Arial"/>
                <w:color w:val="000000"/>
                <w:sz w:val="18"/>
                <w:szCs w:val="19"/>
                <w:u w:val="single"/>
              </w:rPr>
              <w:t>L</w:t>
            </w:r>
            <w:r w:rsidR="00B57EA6" w:rsidRPr="00447608">
              <w:rPr>
                <w:rFonts w:cs="Arial"/>
                <w:color w:val="000000"/>
                <w:sz w:val="18"/>
                <w:szCs w:val="19"/>
                <w:u w:val="single"/>
              </w:rPr>
              <w:t>icensed Corporation/Hedge Fund: CSOP Asset Management Ltd</w:t>
            </w:r>
          </w:p>
          <w:p w:rsidR="00B57EA6" w:rsidRPr="00447608" w:rsidRDefault="00B57EA6" w:rsidP="00B57EA6">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Act as the role of Team-in-charge which involves planning the audit strategy, agreeing timeline and deliverables with clients, assist in reviewing the financial statements and leading a team of 3 to perform the audit field work</w:t>
            </w:r>
          </w:p>
          <w:p w:rsidR="00B57EA6" w:rsidRPr="00447608" w:rsidRDefault="00B57EA6" w:rsidP="00D57ADE">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Identify the potential accounting issues including consolidation of the CSOP Asset Management Ltd over the Luxemburg funds and EJF fund, going concern of the GCAR in the interim audit so that any assessment could be pushed forward to meet tight deadline in final audit</w:t>
            </w:r>
          </w:p>
          <w:p w:rsidR="00B57EA6" w:rsidRPr="00447608" w:rsidRDefault="00B57EA6" w:rsidP="00D57ADE">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Liaise with PwC Tax team to handle ad hoc request in estimating the tax effect of client late bonus adjustment</w:t>
            </w:r>
          </w:p>
          <w:p w:rsidR="00B57EA6" w:rsidRPr="006D1135" w:rsidRDefault="00B57EA6" w:rsidP="007B5365">
            <w:pPr>
              <w:numPr>
                <w:ilvl w:val="1"/>
                <w:numId w:val="8"/>
              </w:numPr>
              <w:tabs>
                <w:tab w:val="clear" w:pos="1800"/>
                <w:tab w:val="num" w:pos="720"/>
              </w:tabs>
              <w:ind w:left="720"/>
              <w:jc w:val="both"/>
              <w:rPr>
                <w:rFonts w:cs="Arial"/>
                <w:color w:val="000000"/>
                <w:sz w:val="19"/>
                <w:szCs w:val="19"/>
              </w:rPr>
            </w:pPr>
            <w:r w:rsidRPr="00447608">
              <w:rPr>
                <w:rFonts w:cs="Arial"/>
                <w:color w:val="000000"/>
                <w:sz w:val="18"/>
                <w:szCs w:val="19"/>
              </w:rPr>
              <w:t>Liaise with PwC Tax team to perform the testing over the deeming provision of the CSOP over GCAR</w:t>
            </w:r>
          </w:p>
        </w:tc>
      </w:tr>
      <w:tr w:rsidR="00B57EA6" w:rsidRPr="006D1135">
        <w:trPr>
          <w:cantSplit/>
        </w:trPr>
        <w:tc>
          <w:tcPr>
            <w:tcW w:w="5000" w:type="pct"/>
            <w:gridSpan w:val="2"/>
            <w:vAlign w:val="center"/>
          </w:tcPr>
          <w:p w:rsidR="00B57EA6" w:rsidRPr="006D1135" w:rsidRDefault="00B57EA6" w:rsidP="005017E6">
            <w:pPr>
              <w:spacing w:before="120" w:after="60"/>
              <w:jc w:val="both"/>
              <w:rPr>
                <w:rFonts w:cs="Arial"/>
                <w:color w:val="000000"/>
                <w:sz w:val="19"/>
                <w:szCs w:val="19"/>
                <w:u w:val="single"/>
              </w:rPr>
            </w:pPr>
          </w:p>
        </w:tc>
      </w:tr>
      <w:tr w:rsidR="00B57EA6" w:rsidRPr="006D1135">
        <w:trPr>
          <w:cantSplit/>
        </w:trPr>
        <w:tc>
          <w:tcPr>
            <w:tcW w:w="5000" w:type="pct"/>
            <w:gridSpan w:val="2"/>
            <w:vAlign w:val="center"/>
          </w:tcPr>
          <w:p w:rsidR="00B57EA6" w:rsidRPr="00447608" w:rsidRDefault="00B57EA6" w:rsidP="00EB1E11">
            <w:pPr>
              <w:spacing w:before="120" w:after="60"/>
              <w:jc w:val="both"/>
              <w:rPr>
                <w:rFonts w:cs="Arial"/>
                <w:color w:val="000000"/>
                <w:sz w:val="18"/>
                <w:szCs w:val="19"/>
                <w:u w:val="single"/>
              </w:rPr>
            </w:pPr>
            <w:r w:rsidRPr="00447608">
              <w:rPr>
                <w:rFonts w:cs="Arial"/>
                <w:color w:val="000000"/>
                <w:sz w:val="18"/>
                <w:szCs w:val="19"/>
                <w:u w:val="single"/>
              </w:rPr>
              <w:t xml:space="preserve">Private Equity Fund – Income Partner Funds </w:t>
            </w:r>
          </w:p>
          <w:p w:rsidR="00B57EA6" w:rsidRPr="00447608" w:rsidRDefault="00B57EA6" w:rsidP="00EB1E11">
            <w:pPr>
              <w:numPr>
                <w:ilvl w:val="1"/>
                <w:numId w:val="8"/>
              </w:numPr>
              <w:tabs>
                <w:tab w:val="clear" w:pos="1800"/>
              </w:tabs>
              <w:ind w:left="720"/>
              <w:jc w:val="both"/>
              <w:rPr>
                <w:rFonts w:cs="Arial"/>
                <w:color w:val="000000"/>
                <w:sz w:val="18"/>
                <w:szCs w:val="19"/>
              </w:rPr>
            </w:pPr>
            <w:r w:rsidRPr="00447608">
              <w:rPr>
                <w:rFonts w:cs="Arial"/>
                <w:color w:val="000000"/>
                <w:sz w:val="18"/>
                <w:szCs w:val="19"/>
              </w:rPr>
              <w:t>Private Equity Setup in 2009 with investments focusing on the 4S Car Dealership in Mainland China</w:t>
            </w:r>
          </w:p>
          <w:p w:rsidR="00B57EA6" w:rsidRPr="00447608" w:rsidRDefault="00B57EA6" w:rsidP="00EB1E11">
            <w:pPr>
              <w:numPr>
                <w:ilvl w:val="1"/>
                <w:numId w:val="8"/>
              </w:numPr>
              <w:tabs>
                <w:tab w:val="clear" w:pos="1800"/>
              </w:tabs>
              <w:ind w:left="720"/>
              <w:jc w:val="both"/>
              <w:rPr>
                <w:rFonts w:cs="Arial"/>
                <w:color w:val="000000"/>
                <w:sz w:val="18"/>
                <w:szCs w:val="19"/>
              </w:rPr>
            </w:pPr>
            <w:r w:rsidRPr="00447608">
              <w:rPr>
                <w:rFonts w:cs="Arial"/>
                <w:color w:val="000000"/>
                <w:sz w:val="18"/>
                <w:szCs w:val="19"/>
              </w:rPr>
              <w:t>Act as the role of acting manager for audit year 2011 which involves preparing the budget, agreeing the audit strategy and initiate the fee proposal with Partner and client management, reviewing the audit workdone by the senior associate/associate, reviewing the financial statements, co-ordinate with HK client, PRC client and PwC GZ for the interoffice clearance which is further used for PwC HK consolidation audit work</w:t>
            </w:r>
          </w:p>
          <w:p w:rsidR="00B57EA6" w:rsidRPr="00447608" w:rsidRDefault="00B57EA6" w:rsidP="007B5365">
            <w:pPr>
              <w:numPr>
                <w:ilvl w:val="1"/>
                <w:numId w:val="8"/>
              </w:numPr>
              <w:tabs>
                <w:tab w:val="clear" w:pos="1800"/>
              </w:tabs>
              <w:ind w:left="720"/>
              <w:jc w:val="both"/>
              <w:rPr>
                <w:rFonts w:cs="Arial"/>
                <w:color w:val="000000"/>
                <w:sz w:val="18"/>
                <w:szCs w:val="19"/>
              </w:rPr>
            </w:pPr>
            <w:r w:rsidRPr="00447608">
              <w:rPr>
                <w:rFonts w:cs="Arial"/>
                <w:color w:val="000000"/>
                <w:sz w:val="18"/>
                <w:szCs w:val="19"/>
              </w:rPr>
              <w:t>Suggest the improvement in the financial reporting process by i) initiating and agreeing different milestones with the client ii) preparing and presenting the template with HK and PRC client finance team in Shenzhen based on PwC audit knowledge to assist client in preparing the note disclosure in the consolidated financial statements</w:t>
            </w:r>
          </w:p>
          <w:p w:rsidR="00B57EA6" w:rsidRPr="007B5365" w:rsidRDefault="00B57EA6" w:rsidP="007B5365">
            <w:pPr>
              <w:numPr>
                <w:ilvl w:val="1"/>
                <w:numId w:val="8"/>
              </w:numPr>
              <w:tabs>
                <w:tab w:val="clear" w:pos="1800"/>
              </w:tabs>
              <w:ind w:left="720"/>
              <w:jc w:val="both"/>
              <w:rPr>
                <w:rFonts w:cs="Arial"/>
                <w:color w:val="000000"/>
                <w:sz w:val="19"/>
                <w:szCs w:val="19"/>
              </w:rPr>
            </w:pPr>
            <w:r w:rsidRPr="00447608">
              <w:rPr>
                <w:rFonts w:cs="Arial"/>
                <w:color w:val="000000"/>
                <w:sz w:val="18"/>
                <w:szCs w:val="19"/>
              </w:rPr>
              <w:t>Act also as the team-in-charge for the audit year 2009 and 2010 and be rewarded the exceptional performance in both years (less than 10% over all the appraisal within PwC are granted with this grade)</w:t>
            </w:r>
          </w:p>
        </w:tc>
      </w:tr>
    </w:tbl>
    <w:p w:rsidR="00DB46BA" w:rsidRDefault="00DB46BA">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947"/>
        <w:gridCol w:w="2601"/>
      </w:tblGrid>
      <w:tr w:rsidR="00DB46BA" w:rsidRPr="006D1135">
        <w:trPr>
          <w:cantSplit/>
        </w:trPr>
        <w:tc>
          <w:tcPr>
            <w:tcW w:w="5000" w:type="pct"/>
            <w:gridSpan w:val="2"/>
            <w:vAlign w:val="center"/>
          </w:tcPr>
          <w:p w:rsidR="00DB46BA" w:rsidRPr="00447608" w:rsidRDefault="00DB46BA" w:rsidP="00EB1E11">
            <w:pPr>
              <w:spacing w:before="120" w:after="60"/>
              <w:jc w:val="both"/>
              <w:rPr>
                <w:rFonts w:cs="Arial"/>
                <w:color w:val="000000"/>
                <w:sz w:val="18"/>
                <w:szCs w:val="19"/>
                <w:u w:val="single"/>
              </w:rPr>
            </w:pPr>
            <w:r w:rsidRPr="006D1135">
              <w:rPr>
                <w:rFonts w:cs="Arial"/>
                <w:b/>
                <w:bCs/>
                <w:color w:val="000000"/>
                <w:sz w:val="23"/>
                <w:szCs w:val="23"/>
              </w:rPr>
              <w:lastRenderedPageBreak/>
              <w:t>Work Experience</w:t>
            </w:r>
            <w:r>
              <w:rPr>
                <w:rFonts w:cs="Arial"/>
                <w:b/>
                <w:bCs/>
                <w:color w:val="000000"/>
                <w:sz w:val="23"/>
                <w:szCs w:val="23"/>
              </w:rPr>
              <w:t xml:space="preserve"> (Continued)</w:t>
            </w:r>
          </w:p>
        </w:tc>
      </w:tr>
      <w:tr w:rsidR="00B57EA6" w:rsidRPr="006D1135">
        <w:trPr>
          <w:cantSplit/>
        </w:trPr>
        <w:tc>
          <w:tcPr>
            <w:tcW w:w="5000" w:type="pct"/>
            <w:gridSpan w:val="2"/>
            <w:vAlign w:val="center"/>
          </w:tcPr>
          <w:p w:rsidR="00B57EA6" w:rsidRPr="00447608" w:rsidRDefault="00B57EA6" w:rsidP="001E285D">
            <w:pPr>
              <w:spacing w:before="120" w:after="60"/>
              <w:jc w:val="both"/>
              <w:rPr>
                <w:rFonts w:cs="Arial"/>
                <w:color w:val="000000"/>
                <w:sz w:val="18"/>
                <w:szCs w:val="19"/>
                <w:u w:val="single"/>
              </w:rPr>
            </w:pPr>
            <w:r w:rsidRPr="00447608">
              <w:rPr>
                <w:rFonts w:cs="Arial"/>
                <w:color w:val="000000"/>
                <w:sz w:val="18"/>
                <w:szCs w:val="19"/>
                <w:u w:val="single"/>
              </w:rPr>
              <w:t>Hedge/Private equity funds : Avenue Asia Capital Limited</w:t>
            </w:r>
          </w:p>
          <w:p w:rsidR="00B57EA6" w:rsidRPr="00447608" w:rsidRDefault="00B57EA6" w:rsidP="001E285D">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Head-Quartered in US with AUM of US1.3 billion for 6 funds setup in Asia region</w:t>
            </w:r>
          </w:p>
          <w:p w:rsidR="00B57EA6" w:rsidRPr="00447608" w:rsidRDefault="00B57EA6" w:rsidP="001E285D">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Act as the role of Team-in-charge which involves planning the audit strategy, agreeing timeline and deliverables with clients, co-ordinate the interoffice communication and deliverables, assisting in the review of the financial statements and leading a team of 4 to perform the audit field work</w:t>
            </w:r>
          </w:p>
          <w:p w:rsidR="00B57EA6" w:rsidRPr="00447608" w:rsidRDefault="00B57EA6" w:rsidP="001E285D">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Assess risk of material misstatements and design the appropriate testing over the private equity investments and non-performing loans through i) discussion with managing directors, ii) reviewing the investment agreements iii) initiate internal team discussion iv) performing background search and reviewing and news search on investee companies</w:t>
            </w:r>
          </w:p>
          <w:p w:rsidR="00B57EA6" w:rsidRPr="00447608" w:rsidRDefault="00B57EA6" w:rsidP="00DB2E33">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Perform the tax assessment over the SPV-investment structure in various jurisdictions in accordance with the accounting standard (ASC 740-10)</w:t>
            </w:r>
          </w:p>
          <w:p w:rsidR="00B57EA6" w:rsidRPr="006D1135" w:rsidRDefault="00B57EA6" w:rsidP="00586567">
            <w:pPr>
              <w:numPr>
                <w:ilvl w:val="1"/>
                <w:numId w:val="8"/>
              </w:numPr>
              <w:tabs>
                <w:tab w:val="clear" w:pos="1800"/>
                <w:tab w:val="num" w:pos="720"/>
              </w:tabs>
              <w:ind w:left="720"/>
              <w:jc w:val="both"/>
              <w:rPr>
                <w:rFonts w:cs="Arial"/>
                <w:color w:val="000000"/>
                <w:sz w:val="19"/>
                <w:szCs w:val="19"/>
              </w:rPr>
            </w:pPr>
            <w:r w:rsidRPr="00447608">
              <w:rPr>
                <w:rFonts w:cs="Arial"/>
                <w:color w:val="000000"/>
                <w:sz w:val="18"/>
                <w:szCs w:val="19"/>
              </w:rPr>
              <w:t>Assist to prepare presentation materials for the Audit Clearance Meeting, including the audit feedback over the valuation methodology, the going concern assessment over the funds</w:t>
            </w:r>
          </w:p>
        </w:tc>
      </w:tr>
      <w:tr w:rsidR="00B57EA6" w:rsidRPr="006D1135">
        <w:trPr>
          <w:cantSplit/>
        </w:trPr>
        <w:tc>
          <w:tcPr>
            <w:tcW w:w="5000" w:type="pct"/>
            <w:gridSpan w:val="2"/>
            <w:vAlign w:val="center"/>
          </w:tcPr>
          <w:p w:rsidR="00B57EA6" w:rsidRPr="00447608" w:rsidRDefault="00B57EA6" w:rsidP="005017E6">
            <w:pPr>
              <w:spacing w:before="120" w:after="60"/>
              <w:jc w:val="both"/>
              <w:rPr>
                <w:rFonts w:cs="Arial"/>
                <w:color w:val="000000"/>
                <w:sz w:val="18"/>
                <w:szCs w:val="19"/>
                <w:u w:val="single"/>
              </w:rPr>
            </w:pPr>
            <w:r w:rsidRPr="00447608">
              <w:rPr>
                <w:rFonts w:cs="Arial"/>
                <w:color w:val="000000"/>
                <w:sz w:val="18"/>
                <w:szCs w:val="19"/>
                <w:u w:val="single"/>
              </w:rPr>
              <w:t>Investment Bank – BNP Paribas Wealth Management Section</w:t>
            </w:r>
          </w:p>
          <w:p w:rsidR="00B57EA6" w:rsidRPr="00447608" w:rsidRDefault="00B57EA6" w:rsidP="00181C62">
            <w:pPr>
              <w:numPr>
                <w:ilvl w:val="1"/>
                <w:numId w:val="11"/>
              </w:numPr>
              <w:tabs>
                <w:tab w:val="clear" w:pos="1800"/>
              </w:tabs>
              <w:spacing w:after="60"/>
              <w:ind w:left="720"/>
              <w:jc w:val="both"/>
              <w:rPr>
                <w:rFonts w:cs="Arial"/>
                <w:b/>
                <w:color w:val="000000"/>
                <w:sz w:val="18"/>
                <w:szCs w:val="19"/>
              </w:rPr>
            </w:pPr>
            <w:r w:rsidRPr="00447608">
              <w:rPr>
                <w:rFonts w:cs="Arial"/>
                <w:color w:val="000000"/>
                <w:sz w:val="18"/>
                <w:szCs w:val="19"/>
              </w:rPr>
              <w:t xml:space="preserve">Act as the role of Team-in-charge which involves i) Evaluation of the control effectiveness through sample testing and suggest recommendations for improvements ii) Handling ad-hoc request from the PwC Finance Team which is the head auditor of the BNP Group </w:t>
            </w:r>
          </w:p>
          <w:p w:rsidR="00B57EA6" w:rsidRPr="00447608" w:rsidRDefault="00B57EA6" w:rsidP="00090963">
            <w:pPr>
              <w:numPr>
                <w:ilvl w:val="1"/>
                <w:numId w:val="11"/>
              </w:numPr>
              <w:tabs>
                <w:tab w:val="clear" w:pos="1800"/>
              </w:tabs>
              <w:spacing w:after="60"/>
              <w:ind w:left="720"/>
              <w:jc w:val="both"/>
              <w:rPr>
                <w:rFonts w:cs="Arial"/>
                <w:b/>
                <w:color w:val="000000"/>
                <w:sz w:val="18"/>
                <w:szCs w:val="19"/>
              </w:rPr>
            </w:pPr>
            <w:r w:rsidRPr="00447608">
              <w:rPr>
                <w:rFonts w:cs="Arial"/>
                <w:color w:val="000000"/>
                <w:sz w:val="18"/>
                <w:szCs w:val="19"/>
              </w:rPr>
              <w:t>Co-ordinate with various parties in the preparation of the internal interoffice deliverables and external audit deliverables</w:t>
            </w:r>
          </w:p>
        </w:tc>
      </w:tr>
      <w:tr w:rsidR="00B57EA6" w:rsidRPr="006D1135">
        <w:trPr>
          <w:cantSplit/>
        </w:trPr>
        <w:tc>
          <w:tcPr>
            <w:tcW w:w="5000" w:type="pct"/>
            <w:gridSpan w:val="2"/>
            <w:vAlign w:val="center"/>
          </w:tcPr>
          <w:p w:rsidR="00B57EA6" w:rsidRPr="00447608" w:rsidRDefault="00B57EA6" w:rsidP="00EB1E11">
            <w:pPr>
              <w:spacing w:before="120" w:after="60"/>
              <w:jc w:val="both"/>
              <w:rPr>
                <w:rFonts w:cs="Arial"/>
                <w:color w:val="000000"/>
                <w:sz w:val="18"/>
                <w:szCs w:val="19"/>
                <w:u w:val="single"/>
              </w:rPr>
            </w:pPr>
            <w:r w:rsidRPr="00447608">
              <w:rPr>
                <w:rFonts w:cs="Arial"/>
                <w:color w:val="000000"/>
                <w:sz w:val="18"/>
                <w:szCs w:val="19"/>
                <w:u w:val="single"/>
              </w:rPr>
              <w:t>Hedge Fund: Doric Funds under Composite Capital Group</w:t>
            </w:r>
          </w:p>
          <w:p w:rsidR="00B57EA6" w:rsidRPr="00447608" w:rsidRDefault="00B57EA6" w:rsidP="00EB1E11">
            <w:pPr>
              <w:numPr>
                <w:ilvl w:val="1"/>
                <w:numId w:val="8"/>
              </w:numPr>
              <w:tabs>
                <w:tab w:val="clear" w:pos="1800"/>
              </w:tabs>
              <w:ind w:left="720"/>
              <w:jc w:val="both"/>
              <w:rPr>
                <w:rFonts w:cs="Arial"/>
                <w:color w:val="000000"/>
                <w:sz w:val="18"/>
                <w:szCs w:val="19"/>
              </w:rPr>
            </w:pPr>
            <w:r w:rsidRPr="00447608">
              <w:rPr>
                <w:rFonts w:cs="Arial"/>
                <w:color w:val="000000"/>
                <w:sz w:val="18"/>
                <w:szCs w:val="19"/>
              </w:rPr>
              <w:t>Two Cayman Hedge Funds with AUM of US 40 million and primary investment focus on Equity/Bond investments, mixed with some derivative product in the Asia Pacific Region</w:t>
            </w:r>
          </w:p>
          <w:p w:rsidR="00B57EA6" w:rsidRPr="00447608" w:rsidRDefault="00B57EA6" w:rsidP="00EB1E11">
            <w:pPr>
              <w:numPr>
                <w:ilvl w:val="1"/>
                <w:numId w:val="8"/>
              </w:numPr>
              <w:tabs>
                <w:tab w:val="clear" w:pos="1800"/>
                <w:tab w:val="num" w:pos="720"/>
              </w:tabs>
              <w:ind w:left="720"/>
              <w:jc w:val="both"/>
              <w:rPr>
                <w:rFonts w:cs="Arial"/>
                <w:color w:val="000000"/>
                <w:sz w:val="18"/>
                <w:szCs w:val="19"/>
              </w:rPr>
            </w:pPr>
            <w:r w:rsidRPr="00447608">
              <w:rPr>
                <w:rFonts w:cs="Arial"/>
                <w:color w:val="000000"/>
                <w:sz w:val="18"/>
                <w:szCs w:val="19"/>
              </w:rPr>
              <w:t>Act as the role of Team-in-charge which involves performing the control over the NAV reconciliation, Sales and Purchase Cycle, investment guideline compliance &amp; subscription/redemption cycle</w:t>
            </w:r>
          </w:p>
          <w:p w:rsidR="00B57EA6" w:rsidRPr="00447608" w:rsidRDefault="00B57EA6" w:rsidP="00EB1E11">
            <w:pPr>
              <w:numPr>
                <w:ilvl w:val="1"/>
                <w:numId w:val="8"/>
              </w:numPr>
              <w:tabs>
                <w:tab w:val="clear" w:pos="1800"/>
                <w:tab w:val="num" w:pos="720"/>
              </w:tabs>
              <w:ind w:left="720"/>
              <w:jc w:val="both"/>
              <w:rPr>
                <w:rFonts w:cs="Arial"/>
                <w:color w:val="000000"/>
                <w:sz w:val="18"/>
                <w:szCs w:val="19"/>
                <w:u w:val="single"/>
              </w:rPr>
            </w:pPr>
            <w:r w:rsidRPr="00447608">
              <w:rPr>
                <w:rFonts w:cs="Arial"/>
                <w:color w:val="000000"/>
                <w:sz w:val="18"/>
                <w:szCs w:val="19"/>
              </w:rPr>
              <w:t>Design and perform the appropriate substantive testing</w:t>
            </w:r>
          </w:p>
          <w:p w:rsidR="00B57EA6" w:rsidRPr="00447608" w:rsidRDefault="00B57EA6" w:rsidP="0061408D">
            <w:pPr>
              <w:ind w:left="720"/>
              <w:jc w:val="both"/>
              <w:rPr>
                <w:rFonts w:cs="Arial"/>
                <w:color w:val="000000"/>
                <w:sz w:val="18"/>
                <w:szCs w:val="19"/>
                <w:u w:val="single"/>
              </w:rPr>
            </w:pPr>
          </w:p>
        </w:tc>
      </w:tr>
      <w:tr w:rsidR="00B57EA6" w:rsidRPr="006D1135">
        <w:trPr>
          <w:cantSplit/>
        </w:trPr>
        <w:tc>
          <w:tcPr>
            <w:tcW w:w="5000" w:type="pct"/>
            <w:gridSpan w:val="2"/>
            <w:vAlign w:val="center"/>
          </w:tcPr>
          <w:p w:rsidR="00B57EA6" w:rsidRPr="00447608" w:rsidRDefault="00B57EA6" w:rsidP="0061408D">
            <w:pPr>
              <w:spacing w:before="120" w:after="60"/>
              <w:jc w:val="both"/>
              <w:rPr>
                <w:rFonts w:cs="Arial"/>
                <w:color w:val="000000"/>
                <w:sz w:val="18"/>
                <w:szCs w:val="19"/>
                <w:u w:val="single"/>
              </w:rPr>
            </w:pPr>
            <w:r w:rsidRPr="00447608">
              <w:rPr>
                <w:rFonts w:cs="Arial"/>
                <w:color w:val="000000"/>
                <w:sz w:val="18"/>
                <w:szCs w:val="19"/>
                <w:u w:val="single"/>
              </w:rPr>
              <w:t xml:space="preserve">HKMA Engagement: Lehman-Brother Investigation team </w:t>
            </w:r>
          </w:p>
          <w:p w:rsidR="00B57EA6" w:rsidRPr="00447608" w:rsidRDefault="00B57EA6" w:rsidP="0061408D">
            <w:pPr>
              <w:numPr>
                <w:ilvl w:val="1"/>
                <w:numId w:val="8"/>
              </w:numPr>
              <w:tabs>
                <w:tab w:val="clear" w:pos="1800"/>
              </w:tabs>
              <w:ind w:left="720"/>
              <w:jc w:val="both"/>
              <w:rPr>
                <w:rFonts w:cs="Arial"/>
                <w:color w:val="000000"/>
                <w:sz w:val="18"/>
                <w:szCs w:val="19"/>
              </w:rPr>
            </w:pPr>
            <w:r w:rsidRPr="00447608">
              <w:rPr>
                <w:rFonts w:cs="Arial"/>
                <w:color w:val="000000"/>
                <w:sz w:val="18"/>
                <w:szCs w:val="19"/>
              </w:rPr>
              <w:t>Lead a team of 5 in logging and review the preliminary processing the complains logged by the team received  from the public</w:t>
            </w:r>
          </w:p>
          <w:p w:rsidR="00B57EA6" w:rsidRPr="009A1AB3" w:rsidRDefault="00B57EA6" w:rsidP="009A1AB3">
            <w:pPr>
              <w:numPr>
                <w:ilvl w:val="1"/>
                <w:numId w:val="8"/>
              </w:numPr>
              <w:tabs>
                <w:tab w:val="clear" w:pos="1800"/>
              </w:tabs>
              <w:ind w:left="720"/>
              <w:jc w:val="both"/>
              <w:rPr>
                <w:rFonts w:cs="Arial"/>
                <w:color w:val="000000"/>
                <w:sz w:val="19"/>
                <w:szCs w:val="19"/>
                <w:u w:val="single"/>
              </w:rPr>
            </w:pPr>
            <w:r w:rsidRPr="00447608">
              <w:rPr>
                <w:rFonts w:cs="Arial"/>
                <w:color w:val="000000"/>
                <w:sz w:val="18"/>
                <w:szCs w:val="19"/>
              </w:rPr>
              <w:t>Outbound calls to of selected cases to get more details about the story of the complainants</w:t>
            </w:r>
          </w:p>
        </w:tc>
      </w:tr>
      <w:tr w:rsidR="00B57EA6" w:rsidRPr="006D1135">
        <w:trPr>
          <w:cantSplit/>
          <w:trHeight w:hRule="exact" w:val="144"/>
        </w:trPr>
        <w:tc>
          <w:tcPr>
            <w:tcW w:w="3638" w:type="pct"/>
            <w:vAlign w:val="center"/>
          </w:tcPr>
          <w:p w:rsidR="00B57EA6" w:rsidRPr="006D1135" w:rsidRDefault="00B57EA6" w:rsidP="00601873">
            <w:pPr>
              <w:spacing w:before="100" w:beforeAutospacing="1"/>
              <w:rPr>
                <w:rFonts w:cs="Arial"/>
                <w:bCs/>
                <w:color w:val="000000"/>
                <w:sz w:val="15"/>
                <w:szCs w:val="15"/>
              </w:rPr>
            </w:pPr>
          </w:p>
        </w:tc>
        <w:tc>
          <w:tcPr>
            <w:tcW w:w="1362" w:type="pct"/>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3638" w:type="pct"/>
            <w:tcBorders>
              <w:bottom w:val="single" w:sz="4" w:space="0" w:color="auto"/>
            </w:tcBorders>
            <w:vAlign w:val="center"/>
          </w:tcPr>
          <w:p w:rsidR="00B57EA6" w:rsidRPr="006D1135" w:rsidRDefault="00B57EA6" w:rsidP="001849C3">
            <w:pPr>
              <w:spacing w:before="100" w:beforeAutospacing="1"/>
              <w:rPr>
                <w:rFonts w:eastAsia="PMingLiU" w:cs="Arial"/>
                <w:b/>
                <w:bCs/>
                <w:color w:val="000000"/>
                <w:sz w:val="23"/>
                <w:szCs w:val="23"/>
                <w:lang w:eastAsia="zh-TW"/>
              </w:rPr>
            </w:pPr>
            <w:r w:rsidRPr="006D1135">
              <w:rPr>
                <w:rFonts w:eastAsia="PMingLiU" w:cs="Arial" w:hint="eastAsia"/>
                <w:b/>
                <w:bCs/>
                <w:color w:val="000000"/>
                <w:sz w:val="23"/>
                <w:szCs w:val="23"/>
                <w:lang w:eastAsia="zh-TW"/>
              </w:rPr>
              <w:t>Skills</w:t>
            </w:r>
            <w:r w:rsidRPr="006D1135">
              <w:rPr>
                <w:rFonts w:eastAsia="PMingLiU" w:cs="Arial"/>
                <w:b/>
                <w:bCs/>
                <w:color w:val="000000"/>
                <w:sz w:val="23"/>
                <w:szCs w:val="23"/>
                <w:lang w:eastAsia="zh-TW"/>
              </w:rPr>
              <w:t xml:space="preserve"> and International exposure</w:t>
            </w:r>
          </w:p>
        </w:tc>
        <w:tc>
          <w:tcPr>
            <w:tcW w:w="1362" w:type="pct"/>
            <w:tcBorders>
              <w:bottom w:val="single" w:sz="4" w:space="0" w:color="auto"/>
            </w:tcBorders>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5000" w:type="pct"/>
            <w:gridSpan w:val="2"/>
            <w:vAlign w:val="center"/>
          </w:tcPr>
          <w:p w:rsidR="00B57EA6" w:rsidRPr="00706544" w:rsidRDefault="00B57EA6" w:rsidP="00DB3C18">
            <w:pPr>
              <w:numPr>
                <w:ilvl w:val="1"/>
                <w:numId w:val="8"/>
              </w:numPr>
              <w:tabs>
                <w:tab w:val="clear" w:pos="1800"/>
              </w:tabs>
              <w:ind w:left="720"/>
              <w:jc w:val="both"/>
              <w:rPr>
                <w:rFonts w:cs="Arial"/>
                <w:color w:val="000000"/>
                <w:sz w:val="19"/>
                <w:szCs w:val="19"/>
              </w:rPr>
            </w:pPr>
            <w:r w:rsidRPr="00706544">
              <w:rPr>
                <w:rFonts w:cs="Arial"/>
                <w:color w:val="000000"/>
                <w:sz w:val="19"/>
                <w:szCs w:val="19"/>
              </w:rPr>
              <w:t xml:space="preserve">Skills: Competent with MS </w:t>
            </w:r>
            <w:r w:rsidRPr="00706544">
              <w:rPr>
                <w:rFonts w:cs="Arial" w:hint="eastAsia"/>
                <w:color w:val="000000"/>
                <w:sz w:val="19"/>
                <w:szCs w:val="19"/>
              </w:rPr>
              <w:t xml:space="preserve">Excel, MS </w:t>
            </w:r>
            <w:r w:rsidRPr="00706544">
              <w:rPr>
                <w:rFonts w:cs="Arial"/>
                <w:color w:val="000000"/>
                <w:sz w:val="19"/>
                <w:szCs w:val="19"/>
              </w:rPr>
              <w:t xml:space="preserve">Word, </w:t>
            </w:r>
            <w:r w:rsidRPr="00706544">
              <w:rPr>
                <w:rFonts w:cs="Arial" w:hint="eastAsia"/>
                <w:color w:val="000000"/>
                <w:sz w:val="19"/>
                <w:szCs w:val="19"/>
              </w:rPr>
              <w:t xml:space="preserve">MS </w:t>
            </w:r>
            <w:r w:rsidRPr="00706544">
              <w:rPr>
                <w:rFonts w:cs="Arial"/>
                <w:color w:val="000000"/>
                <w:sz w:val="19"/>
                <w:szCs w:val="19"/>
              </w:rPr>
              <w:t xml:space="preserve">PowerPoint </w:t>
            </w:r>
          </w:p>
          <w:p w:rsidR="00B57EA6" w:rsidRPr="00DB3C18" w:rsidRDefault="00B57EA6" w:rsidP="00DB3C18">
            <w:pPr>
              <w:numPr>
                <w:ilvl w:val="1"/>
                <w:numId w:val="8"/>
              </w:numPr>
              <w:tabs>
                <w:tab w:val="clear" w:pos="1800"/>
              </w:tabs>
              <w:ind w:left="720"/>
              <w:jc w:val="both"/>
              <w:rPr>
                <w:rFonts w:cs="Arial"/>
                <w:color w:val="000000"/>
                <w:sz w:val="19"/>
                <w:szCs w:val="19"/>
              </w:rPr>
            </w:pPr>
            <w:r w:rsidRPr="00DB3C18">
              <w:rPr>
                <w:rFonts w:cs="Arial"/>
                <w:color w:val="000000"/>
                <w:sz w:val="19"/>
                <w:szCs w:val="19"/>
              </w:rPr>
              <w:t xml:space="preserve">International Exposure: </w:t>
            </w:r>
          </w:p>
          <w:p w:rsidR="00B57EA6" w:rsidRPr="00DB3C18" w:rsidRDefault="00B57EA6" w:rsidP="00DB3C18">
            <w:pPr>
              <w:ind w:left="720"/>
              <w:jc w:val="both"/>
              <w:rPr>
                <w:rFonts w:cs="Arial"/>
                <w:color w:val="000000"/>
                <w:sz w:val="19"/>
                <w:szCs w:val="19"/>
              </w:rPr>
            </w:pPr>
            <w:r w:rsidRPr="00DB3C18">
              <w:rPr>
                <w:rFonts w:cs="Arial"/>
                <w:color w:val="000000"/>
                <w:sz w:val="19"/>
                <w:szCs w:val="19"/>
              </w:rPr>
              <w:t>8 Weeks engagement for Avenue Asia Capital Group in Singapore (2011-2012)</w:t>
            </w:r>
          </w:p>
          <w:p w:rsidR="00B57EA6" w:rsidRPr="006D1135" w:rsidRDefault="00B57EA6" w:rsidP="00DB3C18">
            <w:pPr>
              <w:ind w:left="720"/>
              <w:jc w:val="both"/>
              <w:rPr>
                <w:rFonts w:eastAsia="PMingLiU" w:cs="Arial"/>
                <w:sz w:val="19"/>
                <w:szCs w:val="19"/>
                <w:lang w:eastAsia="zh-TW"/>
              </w:rPr>
            </w:pPr>
            <w:r w:rsidRPr="00DB3C18">
              <w:rPr>
                <w:rFonts w:cs="Arial"/>
                <w:color w:val="000000"/>
                <w:sz w:val="19"/>
                <w:szCs w:val="19"/>
              </w:rPr>
              <w:t>1 Year student-exchange in Peking University (2005-2006)</w:t>
            </w:r>
            <w:r w:rsidRPr="006D1135">
              <w:rPr>
                <w:rFonts w:cs="Arial"/>
                <w:sz w:val="19"/>
                <w:szCs w:val="19"/>
              </w:rPr>
              <w:t xml:space="preserve"> </w:t>
            </w:r>
          </w:p>
        </w:tc>
      </w:tr>
      <w:tr w:rsidR="00B57EA6" w:rsidRPr="006D1135">
        <w:trPr>
          <w:cantSplit/>
          <w:trHeight w:hRule="exact" w:val="144"/>
        </w:trPr>
        <w:tc>
          <w:tcPr>
            <w:tcW w:w="3638" w:type="pct"/>
            <w:vAlign w:val="center"/>
          </w:tcPr>
          <w:p w:rsidR="00B57EA6" w:rsidRPr="006D1135" w:rsidRDefault="00B57EA6" w:rsidP="00601873">
            <w:pPr>
              <w:spacing w:before="100" w:beforeAutospacing="1"/>
              <w:rPr>
                <w:rFonts w:cs="Arial"/>
                <w:bCs/>
                <w:color w:val="000000"/>
                <w:sz w:val="15"/>
                <w:szCs w:val="15"/>
              </w:rPr>
            </w:pPr>
          </w:p>
        </w:tc>
        <w:tc>
          <w:tcPr>
            <w:tcW w:w="1362" w:type="pct"/>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3638" w:type="pct"/>
            <w:tcBorders>
              <w:bottom w:val="single" w:sz="4" w:space="0" w:color="auto"/>
            </w:tcBorders>
            <w:vAlign w:val="center"/>
          </w:tcPr>
          <w:p w:rsidR="00B57EA6" w:rsidRPr="006D1135" w:rsidRDefault="00B57EA6" w:rsidP="00601873">
            <w:pPr>
              <w:spacing w:before="100" w:beforeAutospacing="1"/>
              <w:rPr>
                <w:rFonts w:eastAsia="PMingLiU" w:cs="Arial"/>
                <w:b/>
                <w:bCs/>
                <w:color w:val="000000"/>
                <w:sz w:val="23"/>
                <w:szCs w:val="23"/>
                <w:lang w:eastAsia="zh-TW"/>
              </w:rPr>
            </w:pPr>
            <w:r w:rsidRPr="006D1135">
              <w:rPr>
                <w:rFonts w:eastAsia="PMingLiU" w:cs="Arial" w:hint="eastAsia"/>
                <w:b/>
                <w:bCs/>
                <w:color w:val="000000"/>
                <w:sz w:val="23"/>
                <w:szCs w:val="23"/>
                <w:lang w:eastAsia="zh-TW"/>
              </w:rPr>
              <w:t>Languages</w:t>
            </w:r>
          </w:p>
        </w:tc>
        <w:tc>
          <w:tcPr>
            <w:tcW w:w="1362" w:type="pct"/>
            <w:tcBorders>
              <w:bottom w:val="single" w:sz="4" w:space="0" w:color="auto"/>
            </w:tcBorders>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5000" w:type="pct"/>
            <w:gridSpan w:val="2"/>
            <w:vAlign w:val="center"/>
          </w:tcPr>
          <w:p w:rsidR="00B57EA6" w:rsidRPr="00DB3C18" w:rsidRDefault="00B57EA6" w:rsidP="00DB3C18">
            <w:pPr>
              <w:numPr>
                <w:ilvl w:val="1"/>
                <w:numId w:val="8"/>
              </w:numPr>
              <w:tabs>
                <w:tab w:val="clear" w:pos="1800"/>
                <w:tab w:val="num" w:pos="720"/>
              </w:tabs>
              <w:ind w:left="720"/>
              <w:jc w:val="both"/>
              <w:rPr>
                <w:rFonts w:cs="Arial"/>
                <w:color w:val="000000"/>
                <w:sz w:val="19"/>
                <w:szCs w:val="19"/>
              </w:rPr>
            </w:pPr>
            <w:r w:rsidRPr="00DB3C18">
              <w:rPr>
                <w:rFonts w:cs="Arial"/>
                <w:color w:val="000000"/>
                <w:sz w:val="19"/>
                <w:szCs w:val="19"/>
              </w:rPr>
              <w:t xml:space="preserve">Spoken: Native Cantonese, Proficient in English, </w:t>
            </w:r>
            <w:r w:rsidRPr="00DB3C18">
              <w:rPr>
                <w:rFonts w:cs="Arial" w:hint="eastAsia"/>
                <w:color w:val="000000"/>
                <w:sz w:val="19"/>
                <w:szCs w:val="19"/>
              </w:rPr>
              <w:t>C</w:t>
            </w:r>
            <w:r w:rsidRPr="00DB3C18">
              <w:rPr>
                <w:rFonts w:cs="Arial"/>
                <w:color w:val="000000"/>
                <w:sz w:val="19"/>
                <w:szCs w:val="19"/>
              </w:rPr>
              <w:t xml:space="preserve">onversational in </w:t>
            </w:r>
            <w:r w:rsidRPr="00DB3C18">
              <w:rPr>
                <w:rFonts w:cs="Arial" w:hint="eastAsia"/>
                <w:color w:val="000000"/>
                <w:sz w:val="19"/>
                <w:szCs w:val="19"/>
              </w:rPr>
              <w:t>Mandarin</w:t>
            </w:r>
            <w:r w:rsidRPr="00DB3C18">
              <w:rPr>
                <w:rFonts w:cs="Arial"/>
                <w:color w:val="000000"/>
                <w:sz w:val="19"/>
                <w:szCs w:val="19"/>
              </w:rPr>
              <w:t xml:space="preserve"> </w:t>
            </w:r>
          </w:p>
          <w:p w:rsidR="00B57EA6" w:rsidRPr="006D1135" w:rsidRDefault="00B57EA6" w:rsidP="00DB3C18">
            <w:pPr>
              <w:numPr>
                <w:ilvl w:val="1"/>
                <w:numId w:val="8"/>
              </w:numPr>
              <w:tabs>
                <w:tab w:val="clear" w:pos="1800"/>
                <w:tab w:val="num" w:pos="720"/>
              </w:tabs>
              <w:ind w:left="720"/>
              <w:jc w:val="both"/>
              <w:rPr>
                <w:rFonts w:cs="Arial"/>
                <w:sz w:val="19"/>
                <w:szCs w:val="19"/>
              </w:rPr>
            </w:pPr>
            <w:r w:rsidRPr="00DB3C18">
              <w:rPr>
                <w:rFonts w:cs="Arial"/>
                <w:color w:val="000000"/>
                <w:sz w:val="19"/>
                <w:szCs w:val="19"/>
              </w:rPr>
              <w:t>Written: Proficient in Chinese and English</w:t>
            </w:r>
          </w:p>
        </w:tc>
      </w:tr>
      <w:tr w:rsidR="00B57EA6" w:rsidRPr="006D1135">
        <w:trPr>
          <w:cantSplit/>
          <w:trHeight w:hRule="exact" w:val="144"/>
        </w:trPr>
        <w:tc>
          <w:tcPr>
            <w:tcW w:w="3638" w:type="pct"/>
            <w:vAlign w:val="center"/>
          </w:tcPr>
          <w:p w:rsidR="00B57EA6" w:rsidRPr="006D1135" w:rsidRDefault="00B57EA6" w:rsidP="00601873">
            <w:pPr>
              <w:spacing w:before="100" w:beforeAutospacing="1"/>
              <w:rPr>
                <w:rFonts w:cs="Arial"/>
                <w:bCs/>
                <w:color w:val="000000"/>
                <w:sz w:val="15"/>
                <w:szCs w:val="15"/>
              </w:rPr>
            </w:pPr>
          </w:p>
        </w:tc>
        <w:tc>
          <w:tcPr>
            <w:tcW w:w="1362" w:type="pct"/>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3638" w:type="pct"/>
            <w:tcBorders>
              <w:bottom w:val="single" w:sz="4" w:space="0" w:color="auto"/>
            </w:tcBorders>
            <w:vAlign w:val="center"/>
          </w:tcPr>
          <w:p w:rsidR="00B57EA6" w:rsidRPr="006D1135" w:rsidRDefault="00B57EA6" w:rsidP="00601873">
            <w:pPr>
              <w:spacing w:before="100" w:beforeAutospacing="1"/>
              <w:rPr>
                <w:rFonts w:eastAsia="PMingLiU" w:cs="Arial"/>
                <w:b/>
                <w:bCs/>
                <w:color w:val="000000"/>
                <w:sz w:val="23"/>
                <w:szCs w:val="23"/>
                <w:lang w:eastAsia="zh-TW"/>
              </w:rPr>
            </w:pPr>
            <w:r w:rsidRPr="006D1135">
              <w:rPr>
                <w:rFonts w:eastAsia="PMingLiU" w:cs="Arial" w:hint="eastAsia"/>
                <w:b/>
                <w:bCs/>
                <w:color w:val="000000"/>
                <w:sz w:val="23"/>
                <w:szCs w:val="23"/>
                <w:lang w:eastAsia="zh-TW"/>
              </w:rPr>
              <w:t>Educational Qualifications</w:t>
            </w:r>
          </w:p>
        </w:tc>
        <w:tc>
          <w:tcPr>
            <w:tcW w:w="1362" w:type="pct"/>
            <w:tcBorders>
              <w:bottom w:val="single" w:sz="4" w:space="0" w:color="auto"/>
            </w:tcBorders>
            <w:vAlign w:val="center"/>
          </w:tcPr>
          <w:p w:rsidR="00B57EA6" w:rsidRPr="006D1135" w:rsidRDefault="00B57EA6" w:rsidP="00601873">
            <w:pPr>
              <w:spacing w:before="240"/>
              <w:rPr>
                <w:rFonts w:cs="Arial"/>
                <w:b/>
                <w:bCs/>
                <w:color w:val="000000"/>
                <w:sz w:val="19"/>
                <w:szCs w:val="19"/>
              </w:rPr>
            </w:pPr>
          </w:p>
        </w:tc>
      </w:tr>
      <w:tr w:rsidR="00B57EA6" w:rsidRPr="006D1135">
        <w:trPr>
          <w:cantSplit/>
        </w:trPr>
        <w:tc>
          <w:tcPr>
            <w:tcW w:w="5000" w:type="pct"/>
            <w:gridSpan w:val="2"/>
            <w:tcBorders>
              <w:top w:val="single" w:sz="4" w:space="0" w:color="auto"/>
            </w:tcBorders>
            <w:vAlign w:val="center"/>
          </w:tcPr>
          <w:p w:rsidR="00B57EA6" w:rsidRPr="00DB3C18" w:rsidRDefault="00B57EA6" w:rsidP="00DB3C18">
            <w:pPr>
              <w:numPr>
                <w:ilvl w:val="1"/>
                <w:numId w:val="8"/>
              </w:numPr>
              <w:tabs>
                <w:tab w:val="clear" w:pos="1800"/>
                <w:tab w:val="num" w:pos="720"/>
              </w:tabs>
              <w:ind w:left="720"/>
              <w:jc w:val="both"/>
              <w:rPr>
                <w:rFonts w:cs="Arial"/>
                <w:color w:val="000000"/>
                <w:sz w:val="19"/>
                <w:szCs w:val="19"/>
              </w:rPr>
            </w:pPr>
            <w:r w:rsidRPr="00DB3C18">
              <w:rPr>
                <w:rFonts w:cs="Arial"/>
                <w:color w:val="000000"/>
                <w:sz w:val="19"/>
                <w:szCs w:val="19"/>
              </w:rPr>
              <w:t>Post Graduate Diploma of the Accounting, The City University of</w:t>
            </w:r>
            <w:r>
              <w:rPr>
                <w:rFonts w:cs="Arial"/>
                <w:color w:val="000000"/>
                <w:sz w:val="19"/>
                <w:szCs w:val="19"/>
              </w:rPr>
              <w:t xml:space="preserve"> Hong Kong (graduated in 2007</w:t>
            </w:r>
            <w:r w:rsidRPr="00DB3C18">
              <w:rPr>
                <w:rFonts w:cs="Arial"/>
                <w:color w:val="000000"/>
                <w:sz w:val="19"/>
                <w:szCs w:val="19"/>
              </w:rPr>
              <w:t>)</w:t>
            </w:r>
          </w:p>
        </w:tc>
      </w:tr>
      <w:tr w:rsidR="00B57EA6" w:rsidRPr="006D1135">
        <w:trPr>
          <w:cantSplit/>
        </w:trPr>
        <w:tc>
          <w:tcPr>
            <w:tcW w:w="5000" w:type="pct"/>
            <w:gridSpan w:val="2"/>
            <w:vAlign w:val="center"/>
          </w:tcPr>
          <w:p w:rsidR="00B57EA6" w:rsidRPr="00DB3C18" w:rsidRDefault="00B57EA6" w:rsidP="00DB3C18">
            <w:pPr>
              <w:numPr>
                <w:ilvl w:val="1"/>
                <w:numId w:val="8"/>
              </w:numPr>
              <w:tabs>
                <w:tab w:val="clear" w:pos="1800"/>
                <w:tab w:val="num" w:pos="720"/>
              </w:tabs>
              <w:ind w:left="720"/>
              <w:jc w:val="both"/>
              <w:rPr>
                <w:rFonts w:cs="Arial"/>
                <w:color w:val="000000"/>
                <w:sz w:val="19"/>
                <w:szCs w:val="19"/>
              </w:rPr>
            </w:pPr>
            <w:r w:rsidRPr="00DB3C18">
              <w:rPr>
                <w:rFonts w:cs="Arial"/>
                <w:color w:val="000000"/>
                <w:sz w:val="19"/>
                <w:szCs w:val="19"/>
              </w:rPr>
              <w:t>Bachelor of Business Administration with Concentration in Finance and Marketing</w:t>
            </w:r>
            <w:r w:rsidRPr="00DB3C18">
              <w:rPr>
                <w:rFonts w:cs="Arial" w:hint="eastAsia"/>
                <w:color w:val="000000"/>
                <w:sz w:val="19"/>
                <w:szCs w:val="19"/>
              </w:rPr>
              <w:t xml:space="preserve">, </w:t>
            </w:r>
            <w:r w:rsidRPr="00DB3C18">
              <w:rPr>
                <w:rFonts w:cs="Arial"/>
                <w:color w:val="000000"/>
                <w:sz w:val="19"/>
                <w:szCs w:val="19"/>
              </w:rPr>
              <w:t>The Chinese University of Hong Kong (graduated in 2007)</w:t>
            </w:r>
          </w:p>
        </w:tc>
      </w:tr>
      <w:tr w:rsidR="00B57EA6" w:rsidRPr="006D1135">
        <w:trPr>
          <w:cantSplit/>
          <w:trHeight w:hRule="exact" w:val="144"/>
        </w:trPr>
        <w:tc>
          <w:tcPr>
            <w:tcW w:w="3638" w:type="pct"/>
            <w:vAlign w:val="center"/>
          </w:tcPr>
          <w:p w:rsidR="00B57EA6" w:rsidRPr="006D1135" w:rsidRDefault="00B57EA6" w:rsidP="002938C6">
            <w:pPr>
              <w:spacing w:before="100" w:beforeAutospacing="1"/>
              <w:rPr>
                <w:rFonts w:cs="Arial"/>
                <w:bCs/>
                <w:color w:val="000000"/>
                <w:sz w:val="15"/>
                <w:szCs w:val="15"/>
              </w:rPr>
            </w:pPr>
          </w:p>
        </w:tc>
        <w:tc>
          <w:tcPr>
            <w:tcW w:w="1362" w:type="pct"/>
            <w:vAlign w:val="center"/>
          </w:tcPr>
          <w:p w:rsidR="00B57EA6" w:rsidRPr="006D1135" w:rsidRDefault="00B57EA6" w:rsidP="002938C6">
            <w:pPr>
              <w:spacing w:before="240"/>
              <w:rPr>
                <w:rFonts w:cs="Arial"/>
                <w:b/>
                <w:bCs/>
                <w:color w:val="000000"/>
                <w:sz w:val="19"/>
                <w:szCs w:val="19"/>
              </w:rPr>
            </w:pPr>
          </w:p>
        </w:tc>
      </w:tr>
      <w:tr w:rsidR="00B57EA6" w:rsidRPr="006D1135">
        <w:trPr>
          <w:cantSplit/>
        </w:trPr>
        <w:tc>
          <w:tcPr>
            <w:tcW w:w="3638" w:type="pct"/>
            <w:tcBorders>
              <w:bottom w:val="single" w:sz="4" w:space="0" w:color="auto"/>
            </w:tcBorders>
            <w:vAlign w:val="center"/>
          </w:tcPr>
          <w:p w:rsidR="00B57EA6" w:rsidRPr="006D1135" w:rsidRDefault="00B57EA6" w:rsidP="002938C6">
            <w:pPr>
              <w:spacing w:before="100" w:beforeAutospacing="1"/>
              <w:rPr>
                <w:rFonts w:eastAsia="PMingLiU" w:cs="Arial"/>
                <w:b/>
                <w:bCs/>
                <w:color w:val="000000"/>
                <w:sz w:val="23"/>
                <w:szCs w:val="23"/>
                <w:lang w:eastAsia="zh-TW"/>
              </w:rPr>
            </w:pPr>
            <w:r w:rsidRPr="006D1135">
              <w:rPr>
                <w:rFonts w:eastAsia="PMingLiU" w:cs="Arial"/>
                <w:b/>
                <w:bCs/>
                <w:color w:val="000000"/>
                <w:sz w:val="23"/>
                <w:szCs w:val="23"/>
                <w:lang w:eastAsia="zh-TW"/>
              </w:rPr>
              <w:t>Expected Salary</w:t>
            </w:r>
          </w:p>
        </w:tc>
        <w:tc>
          <w:tcPr>
            <w:tcW w:w="1362" w:type="pct"/>
            <w:tcBorders>
              <w:bottom w:val="single" w:sz="4" w:space="0" w:color="auto"/>
            </w:tcBorders>
            <w:vAlign w:val="center"/>
          </w:tcPr>
          <w:p w:rsidR="00B57EA6" w:rsidRPr="006D1135" w:rsidRDefault="00B57EA6" w:rsidP="002938C6">
            <w:pPr>
              <w:spacing w:before="240"/>
              <w:rPr>
                <w:rFonts w:cs="Arial"/>
                <w:b/>
                <w:bCs/>
                <w:color w:val="000000"/>
                <w:sz w:val="19"/>
                <w:szCs w:val="19"/>
              </w:rPr>
            </w:pPr>
          </w:p>
        </w:tc>
      </w:tr>
      <w:tr w:rsidR="00B57EA6" w:rsidRPr="006D1135">
        <w:trPr>
          <w:cantSplit/>
        </w:trPr>
        <w:tc>
          <w:tcPr>
            <w:tcW w:w="5000" w:type="pct"/>
            <w:gridSpan w:val="2"/>
            <w:vAlign w:val="center"/>
          </w:tcPr>
          <w:p w:rsidR="00B57EA6" w:rsidRPr="00DB3C18" w:rsidRDefault="00B57EA6" w:rsidP="00545CA1">
            <w:pPr>
              <w:numPr>
                <w:ilvl w:val="1"/>
                <w:numId w:val="8"/>
              </w:numPr>
              <w:tabs>
                <w:tab w:val="clear" w:pos="1800"/>
                <w:tab w:val="num" w:pos="720"/>
              </w:tabs>
              <w:ind w:left="720"/>
              <w:jc w:val="both"/>
              <w:rPr>
                <w:rFonts w:cs="Arial"/>
                <w:color w:val="000000"/>
                <w:sz w:val="19"/>
                <w:szCs w:val="19"/>
              </w:rPr>
            </w:pPr>
            <w:r>
              <w:rPr>
                <w:rFonts w:cs="Arial"/>
                <w:color w:val="000000"/>
                <w:sz w:val="19"/>
                <w:szCs w:val="19"/>
              </w:rPr>
              <w:t xml:space="preserve">Yearly </w:t>
            </w:r>
            <w:r w:rsidR="00DE236F">
              <w:rPr>
                <w:rFonts w:cs="Arial"/>
                <w:color w:val="000000"/>
                <w:sz w:val="19"/>
                <w:szCs w:val="19"/>
              </w:rPr>
              <w:t>remuneration of HKD70</w:t>
            </w:r>
            <w:bookmarkStart w:id="0" w:name="_GoBack"/>
            <w:bookmarkEnd w:id="0"/>
            <w:r w:rsidR="008F3FCB">
              <w:rPr>
                <w:rFonts w:cs="Arial"/>
                <w:color w:val="000000"/>
                <w:sz w:val="19"/>
                <w:szCs w:val="19"/>
              </w:rPr>
              <w:t>0</w:t>
            </w:r>
            <w:r w:rsidRPr="00DB3C18">
              <w:rPr>
                <w:rFonts w:cs="Arial"/>
                <w:color w:val="000000"/>
                <w:sz w:val="19"/>
                <w:szCs w:val="19"/>
              </w:rPr>
              <w:t>,000</w:t>
            </w:r>
            <w:r w:rsidR="001C07BE">
              <w:rPr>
                <w:rFonts w:cs="Arial"/>
                <w:color w:val="000000"/>
                <w:sz w:val="19"/>
                <w:szCs w:val="19"/>
              </w:rPr>
              <w:t xml:space="preserve"> – 78</w:t>
            </w:r>
            <w:r w:rsidR="00CA3D52">
              <w:rPr>
                <w:rFonts w:cs="Arial"/>
                <w:color w:val="000000"/>
                <w:sz w:val="19"/>
                <w:szCs w:val="19"/>
              </w:rPr>
              <w:t>0,000</w:t>
            </w:r>
          </w:p>
        </w:tc>
      </w:tr>
      <w:tr w:rsidR="00B57EA6" w:rsidRPr="006D1135" w:rsidTr="00671734">
        <w:trPr>
          <w:cantSplit/>
        </w:trPr>
        <w:tc>
          <w:tcPr>
            <w:tcW w:w="3638" w:type="pct"/>
            <w:tcBorders>
              <w:bottom w:val="single" w:sz="4" w:space="0" w:color="auto"/>
            </w:tcBorders>
            <w:vAlign w:val="center"/>
          </w:tcPr>
          <w:p w:rsidR="00B57EA6" w:rsidRPr="006D1135" w:rsidRDefault="00B57EA6" w:rsidP="00671734">
            <w:pPr>
              <w:spacing w:before="100" w:beforeAutospacing="1"/>
              <w:rPr>
                <w:rFonts w:eastAsia="PMingLiU" w:cs="Arial"/>
                <w:b/>
                <w:bCs/>
                <w:color w:val="000000"/>
                <w:sz w:val="23"/>
                <w:szCs w:val="23"/>
                <w:lang w:eastAsia="zh-TW"/>
              </w:rPr>
            </w:pPr>
            <w:r w:rsidRPr="006D1135">
              <w:rPr>
                <w:rFonts w:eastAsia="PMingLiU" w:cs="Arial"/>
                <w:b/>
                <w:bCs/>
                <w:color w:val="000000"/>
                <w:sz w:val="23"/>
                <w:szCs w:val="23"/>
                <w:lang w:eastAsia="zh-TW"/>
              </w:rPr>
              <w:t>Notice Period</w:t>
            </w:r>
          </w:p>
        </w:tc>
        <w:tc>
          <w:tcPr>
            <w:tcW w:w="1362" w:type="pct"/>
            <w:tcBorders>
              <w:bottom w:val="single" w:sz="4" w:space="0" w:color="auto"/>
            </w:tcBorders>
            <w:vAlign w:val="center"/>
          </w:tcPr>
          <w:p w:rsidR="00B57EA6" w:rsidRPr="006D1135" w:rsidRDefault="00B57EA6" w:rsidP="00671734">
            <w:pPr>
              <w:spacing w:before="240"/>
              <w:rPr>
                <w:rFonts w:cs="Arial"/>
                <w:b/>
                <w:bCs/>
                <w:color w:val="000000"/>
                <w:sz w:val="19"/>
                <w:szCs w:val="19"/>
              </w:rPr>
            </w:pPr>
          </w:p>
        </w:tc>
      </w:tr>
      <w:tr w:rsidR="00B57EA6" w:rsidRPr="006D1135" w:rsidTr="00671734">
        <w:trPr>
          <w:cantSplit/>
        </w:trPr>
        <w:tc>
          <w:tcPr>
            <w:tcW w:w="5000" w:type="pct"/>
            <w:gridSpan w:val="2"/>
            <w:vAlign w:val="center"/>
          </w:tcPr>
          <w:p w:rsidR="00B57EA6" w:rsidRPr="006D1135" w:rsidRDefault="00915A05" w:rsidP="00915A05">
            <w:pPr>
              <w:numPr>
                <w:ilvl w:val="1"/>
                <w:numId w:val="8"/>
              </w:numPr>
              <w:tabs>
                <w:tab w:val="clear" w:pos="1800"/>
                <w:tab w:val="num" w:pos="720"/>
              </w:tabs>
              <w:ind w:left="720"/>
              <w:jc w:val="both"/>
              <w:rPr>
                <w:rFonts w:cs="Arial"/>
                <w:color w:val="000000"/>
                <w:sz w:val="19"/>
                <w:szCs w:val="19"/>
              </w:rPr>
            </w:pPr>
            <w:r>
              <w:rPr>
                <w:rFonts w:cs="Arial"/>
                <w:color w:val="000000"/>
                <w:sz w:val="19"/>
                <w:szCs w:val="19"/>
              </w:rPr>
              <w:t xml:space="preserve">Negotiable </w:t>
            </w:r>
          </w:p>
        </w:tc>
      </w:tr>
    </w:tbl>
    <w:p w:rsidR="006D1135" w:rsidRPr="006D1135" w:rsidRDefault="006D1135" w:rsidP="006D1135">
      <w:pPr>
        <w:rPr>
          <w:sz w:val="21"/>
          <w:szCs w:val="21"/>
        </w:rPr>
      </w:pPr>
    </w:p>
    <w:sectPr w:rsidR="006D1135" w:rsidRPr="006D1135" w:rsidSect="00C74581">
      <w:pgSz w:w="11906" w:h="16838"/>
      <w:pgMar w:top="1134" w:right="1440"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31" w:rsidRPr="006D1135" w:rsidRDefault="005A5231">
      <w:pPr>
        <w:rPr>
          <w:sz w:val="21"/>
          <w:szCs w:val="21"/>
        </w:rPr>
      </w:pPr>
      <w:r w:rsidRPr="006D1135">
        <w:rPr>
          <w:sz w:val="21"/>
          <w:szCs w:val="21"/>
        </w:rPr>
        <w:separator/>
      </w:r>
    </w:p>
  </w:endnote>
  <w:endnote w:type="continuationSeparator" w:id="0">
    <w:p w:rsidR="005A5231" w:rsidRPr="006D1135" w:rsidRDefault="005A5231">
      <w:pPr>
        <w:rPr>
          <w:sz w:val="21"/>
          <w:szCs w:val="21"/>
        </w:rPr>
      </w:pPr>
      <w:r w:rsidRPr="006D1135">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31" w:rsidRPr="006D1135" w:rsidRDefault="005A5231">
      <w:pPr>
        <w:rPr>
          <w:sz w:val="21"/>
          <w:szCs w:val="21"/>
        </w:rPr>
      </w:pPr>
      <w:r w:rsidRPr="006D1135">
        <w:rPr>
          <w:sz w:val="21"/>
          <w:szCs w:val="21"/>
        </w:rPr>
        <w:separator/>
      </w:r>
    </w:p>
  </w:footnote>
  <w:footnote w:type="continuationSeparator" w:id="0">
    <w:p w:rsidR="005A5231" w:rsidRPr="006D1135" w:rsidRDefault="005A5231">
      <w:pPr>
        <w:rPr>
          <w:sz w:val="21"/>
          <w:szCs w:val="21"/>
        </w:rPr>
      </w:pPr>
      <w:r w:rsidRPr="006D1135">
        <w:rPr>
          <w:sz w:val="21"/>
          <w:szCs w:val="21"/>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
      </v:shape>
    </w:pict>
  </w:numPicBullet>
  <w:abstractNum w:abstractNumId="0">
    <w:nsid w:val="FFFFFFFE"/>
    <w:multiLevelType w:val="singleLevel"/>
    <w:tmpl w:val="81F89D74"/>
    <w:lvl w:ilvl="0">
      <w:numFmt w:val="bullet"/>
      <w:lvlText w:val="*"/>
      <w:lvlJc w:val="left"/>
    </w:lvl>
  </w:abstractNum>
  <w:abstractNum w:abstractNumId="1">
    <w:nsid w:val="05C167F8"/>
    <w:multiLevelType w:val="hybridMultilevel"/>
    <w:tmpl w:val="D2F0D004"/>
    <w:lvl w:ilvl="0" w:tplc="B40CE1EE">
      <w:numFmt w:val="bullet"/>
      <w:lvlText w:val="-"/>
      <w:lvlJc w:val="left"/>
      <w:pPr>
        <w:tabs>
          <w:tab w:val="num" w:pos="1080"/>
        </w:tabs>
        <w:ind w:left="1080" w:hanging="360"/>
      </w:pPr>
      <w:rPr>
        <w:rFonts w:ascii="Tahoma" w:eastAsia="SimSun" w:hAnsi="Tahoma" w:hint="default"/>
        <w:b w:val="0"/>
        <w:color w:val="333333"/>
      </w:rPr>
    </w:lvl>
    <w:lvl w:ilvl="1" w:tplc="04090001">
      <w:start w:val="1"/>
      <w:numFmt w:val="bullet"/>
      <w:lvlText w:val=""/>
      <w:lvlJc w:val="left"/>
      <w:pPr>
        <w:tabs>
          <w:tab w:val="num" w:pos="1800"/>
        </w:tabs>
        <w:ind w:left="1800" w:hanging="360"/>
      </w:pPr>
      <w:rPr>
        <w:rFonts w:ascii="Symbol" w:hAnsi="Symbol" w:hint="default"/>
        <w:b w:val="0"/>
        <w:color w:val="333333"/>
      </w:rPr>
    </w:lvl>
    <w:lvl w:ilvl="2" w:tplc="08090005">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0B556AB3"/>
    <w:multiLevelType w:val="multilevel"/>
    <w:tmpl w:val="6228327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7503B"/>
    <w:multiLevelType w:val="hybridMultilevel"/>
    <w:tmpl w:val="E4C86316"/>
    <w:lvl w:ilvl="0" w:tplc="B40CE1EE">
      <w:numFmt w:val="bullet"/>
      <w:lvlText w:val="-"/>
      <w:lvlJc w:val="left"/>
      <w:pPr>
        <w:tabs>
          <w:tab w:val="num" w:pos="720"/>
        </w:tabs>
        <w:ind w:left="720" w:hanging="360"/>
      </w:pPr>
      <w:rPr>
        <w:rFonts w:ascii="Tahoma" w:eastAsia="SimSun" w:hAnsi="Tahoma" w:hint="default"/>
        <w:b w:val="0"/>
        <w:color w:val="333333"/>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27C1A47"/>
    <w:multiLevelType w:val="multilevel"/>
    <w:tmpl w:val="47EA32E2"/>
    <w:lvl w:ilvl="0">
      <w:numFmt w:val="bullet"/>
      <w:lvlText w:val="-"/>
      <w:lvlJc w:val="left"/>
      <w:pPr>
        <w:tabs>
          <w:tab w:val="num" w:pos="1080"/>
        </w:tabs>
        <w:ind w:left="1080" w:hanging="360"/>
      </w:pPr>
      <w:rPr>
        <w:rFonts w:ascii="Tahoma" w:eastAsia="SimSun" w:hAnsi="Tahoma" w:hint="default"/>
        <w:b w:val="0"/>
        <w:color w:val="333333"/>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2EE007BA"/>
    <w:multiLevelType w:val="hybridMultilevel"/>
    <w:tmpl w:val="54DE62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D1472DE"/>
    <w:multiLevelType w:val="hybridMultilevel"/>
    <w:tmpl w:val="08DC36F8"/>
    <w:lvl w:ilvl="0" w:tplc="B40CE1EE">
      <w:numFmt w:val="bullet"/>
      <w:lvlText w:val="-"/>
      <w:lvlJc w:val="left"/>
      <w:pPr>
        <w:tabs>
          <w:tab w:val="num" w:pos="1080"/>
        </w:tabs>
        <w:ind w:left="1080" w:hanging="360"/>
      </w:pPr>
      <w:rPr>
        <w:rFonts w:ascii="Tahoma" w:eastAsia="SimSun" w:hAnsi="Tahoma" w:hint="default"/>
        <w:b w:val="0"/>
        <w:color w:val="333333"/>
      </w:rPr>
    </w:lvl>
    <w:lvl w:ilvl="1" w:tplc="04090001">
      <w:start w:val="1"/>
      <w:numFmt w:val="bullet"/>
      <w:lvlText w:val=""/>
      <w:lvlJc w:val="left"/>
      <w:pPr>
        <w:tabs>
          <w:tab w:val="num" w:pos="1800"/>
        </w:tabs>
        <w:ind w:left="1800" w:hanging="360"/>
      </w:pPr>
      <w:rPr>
        <w:rFonts w:ascii="Symbol" w:hAnsi="Symbol" w:hint="default"/>
        <w:b w:val="0"/>
        <w:color w:val="333333"/>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nsid w:val="454362AB"/>
    <w:multiLevelType w:val="hybridMultilevel"/>
    <w:tmpl w:val="E7A8BD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2E67BF6"/>
    <w:multiLevelType w:val="hybridMultilevel"/>
    <w:tmpl w:val="DC9CF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592B59"/>
    <w:multiLevelType w:val="hybridMultilevel"/>
    <w:tmpl w:val="47EA32E2"/>
    <w:lvl w:ilvl="0" w:tplc="B40CE1EE">
      <w:numFmt w:val="bullet"/>
      <w:lvlText w:val="-"/>
      <w:lvlJc w:val="left"/>
      <w:pPr>
        <w:tabs>
          <w:tab w:val="num" w:pos="720"/>
        </w:tabs>
        <w:ind w:left="720" w:hanging="360"/>
      </w:pPr>
      <w:rPr>
        <w:rFonts w:ascii="Tahoma" w:eastAsia="SimSun" w:hAnsi="Tahoma" w:hint="default"/>
        <w:b w:val="0"/>
        <w:color w:val="333333"/>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686BCE"/>
    <w:multiLevelType w:val="multilevel"/>
    <w:tmpl w:val="82A6797E"/>
    <w:lvl w:ilvl="0">
      <w:numFmt w:val="bullet"/>
      <w:lvlText w:val="-"/>
      <w:lvlJc w:val="left"/>
      <w:pPr>
        <w:tabs>
          <w:tab w:val="num" w:pos="1080"/>
        </w:tabs>
        <w:ind w:left="1080" w:hanging="360"/>
      </w:pPr>
      <w:rPr>
        <w:rFonts w:ascii="Tahoma" w:eastAsia="SimSun" w:hAnsi="Tahoma" w:hint="default"/>
        <w:b w:val="0"/>
        <w:color w:val="333333"/>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59A60B1D"/>
    <w:multiLevelType w:val="multilevel"/>
    <w:tmpl w:val="0F3CD6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B1BBA"/>
    <w:multiLevelType w:val="hybridMultilevel"/>
    <w:tmpl w:val="B966F5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50582B"/>
    <w:multiLevelType w:val="hybridMultilevel"/>
    <w:tmpl w:val="86AE2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D5295F"/>
    <w:multiLevelType w:val="hybridMultilevel"/>
    <w:tmpl w:val="D9E6D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6DF258C"/>
    <w:multiLevelType w:val="hybridMultilevel"/>
    <w:tmpl w:val="4B5C5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6C2AD8"/>
    <w:multiLevelType w:val="hybridMultilevel"/>
    <w:tmpl w:val="DAF690E0"/>
    <w:lvl w:ilvl="0" w:tplc="FFFFFFFF">
      <w:start w:val="1"/>
      <w:numFmt w:val="decimal"/>
      <w:lvlText w:val="%1."/>
      <w:lvlJc w:val="left"/>
      <w:pPr>
        <w:tabs>
          <w:tab w:val="num" w:pos="480"/>
        </w:tabs>
        <w:ind w:left="480" w:hanging="480"/>
      </w:p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1920"/>
        </w:tabs>
        <w:ind w:left="1920" w:hanging="480"/>
      </w:pPr>
    </w:lvl>
    <w:lvl w:ilvl="4" w:tplc="FFFFFFFF">
      <w:start w:val="1"/>
      <w:numFmt w:val="ideographTraditional"/>
      <w:lvlText w:val="%5、"/>
      <w:lvlJc w:val="left"/>
      <w:pPr>
        <w:tabs>
          <w:tab w:val="num" w:pos="2400"/>
        </w:tabs>
        <w:ind w:left="2400" w:hanging="480"/>
      </w:pPr>
    </w:lvl>
    <w:lvl w:ilvl="5" w:tplc="FFFFFFFF">
      <w:start w:val="1"/>
      <w:numFmt w:val="lowerRoman"/>
      <w:lvlText w:val="%6."/>
      <w:lvlJc w:val="right"/>
      <w:pPr>
        <w:tabs>
          <w:tab w:val="num" w:pos="2880"/>
        </w:tabs>
        <w:ind w:left="2880" w:hanging="480"/>
      </w:pPr>
    </w:lvl>
    <w:lvl w:ilvl="6" w:tplc="FFFFFFFF">
      <w:start w:val="1"/>
      <w:numFmt w:val="decimal"/>
      <w:lvlText w:val="%7."/>
      <w:lvlJc w:val="left"/>
      <w:pPr>
        <w:tabs>
          <w:tab w:val="num" w:pos="3360"/>
        </w:tabs>
        <w:ind w:left="3360" w:hanging="480"/>
      </w:pPr>
    </w:lvl>
    <w:lvl w:ilvl="7" w:tplc="FFFFFFFF">
      <w:start w:val="1"/>
      <w:numFmt w:val="ideographTraditional"/>
      <w:lvlText w:val="%8、"/>
      <w:lvlJc w:val="left"/>
      <w:pPr>
        <w:tabs>
          <w:tab w:val="num" w:pos="3840"/>
        </w:tabs>
        <w:ind w:left="3840" w:hanging="480"/>
      </w:pPr>
    </w:lvl>
    <w:lvl w:ilvl="8" w:tplc="FFFFFFFF">
      <w:start w:val="1"/>
      <w:numFmt w:val="lowerRoman"/>
      <w:lvlText w:val="%9."/>
      <w:lvlJc w:val="right"/>
      <w:pPr>
        <w:tabs>
          <w:tab w:val="num" w:pos="4320"/>
        </w:tabs>
        <w:ind w:left="4320" w:hanging="480"/>
      </w:pPr>
    </w:lvl>
  </w:abstractNum>
  <w:abstractNum w:abstractNumId="17">
    <w:nsid w:val="7EC92E8B"/>
    <w:multiLevelType w:val="hybridMultilevel"/>
    <w:tmpl w:val="A02E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EDE5612"/>
    <w:multiLevelType w:val="multilevel"/>
    <w:tmpl w:val="47EA32E2"/>
    <w:lvl w:ilvl="0">
      <w:numFmt w:val="bullet"/>
      <w:lvlText w:val="-"/>
      <w:lvlJc w:val="left"/>
      <w:pPr>
        <w:tabs>
          <w:tab w:val="num" w:pos="1080"/>
        </w:tabs>
        <w:ind w:left="1080" w:hanging="360"/>
      </w:pPr>
      <w:rPr>
        <w:rFonts w:ascii="Tahoma" w:eastAsia="SimSun" w:hAnsi="Tahoma" w:hint="default"/>
        <w:b w:val="0"/>
        <w:color w:val="333333"/>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1"/>
  </w:num>
  <w:num w:numId="3">
    <w:abstractNumId w:val="5"/>
  </w:num>
  <w:num w:numId="4">
    <w:abstractNumId w:val="3"/>
  </w:num>
  <w:num w:numId="5">
    <w:abstractNumId w:val="9"/>
  </w:num>
  <w:num w:numId="6">
    <w:abstractNumId w:val="0"/>
    <w:lvlOverride w:ilvl="0">
      <w:lvl w:ilvl="0">
        <w:numFmt w:val="bullet"/>
        <w:lvlText w:val="•"/>
        <w:legacy w:legacy="1" w:legacySpace="0" w:legacyIndent="0"/>
        <w:lvlJc w:val="left"/>
        <w:rPr>
          <w:rFonts w:ascii="MingLiU" w:eastAsia="MingLiU" w:hAnsi="MingLiU" w:hint="eastAsia"/>
        </w:rPr>
      </w:lvl>
    </w:lvlOverride>
  </w:num>
  <w:num w:numId="7">
    <w:abstractNumId w:val="10"/>
  </w:num>
  <w:num w:numId="8">
    <w:abstractNumId w:val="1"/>
  </w:num>
  <w:num w:numId="9">
    <w:abstractNumId w:val="18"/>
  </w:num>
  <w:num w:numId="10">
    <w:abstractNumId w:val="4"/>
  </w:num>
  <w:num w:numId="11">
    <w:abstractNumId w:val="6"/>
  </w:num>
  <w:num w:numId="12">
    <w:abstractNumId w:val="15"/>
  </w:num>
  <w:num w:numId="13">
    <w:abstractNumId w:val="8"/>
  </w:num>
  <w:num w:numId="14">
    <w:abstractNumId w:val="12"/>
  </w:num>
  <w:num w:numId="15">
    <w:abstractNumId w:val="14"/>
  </w:num>
  <w:num w:numId="16">
    <w:abstractNumId w:val="7"/>
  </w:num>
  <w:num w:numId="17">
    <w:abstractNumId w:val="13"/>
  </w:num>
  <w:num w:numId="18">
    <w:abstractNumId w:val="17"/>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64A"/>
    <w:rsid w:val="00002C2D"/>
    <w:rsid w:val="00014614"/>
    <w:rsid w:val="00016271"/>
    <w:rsid w:val="000168A4"/>
    <w:rsid w:val="00027C85"/>
    <w:rsid w:val="0003406A"/>
    <w:rsid w:val="00051ED2"/>
    <w:rsid w:val="00053A30"/>
    <w:rsid w:val="00054CC6"/>
    <w:rsid w:val="00064E2F"/>
    <w:rsid w:val="00072E84"/>
    <w:rsid w:val="00073E5A"/>
    <w:rsid w:val="00074C3B"/>
    <w:rsid w:val="00090963"/>
    <w:rsid w:val="000A0F39"/>
    <w:rsid w:val="000D3711"/>
    <w:rsid w:val="000D465D"/>
    <w:rsid w:val="000E1B21"/>
    <w:rsid w:val="001352A8"/>
    <w:rsid w:val="001362CE"/>
    <w:rsid w:val="00140CDE"/>
    <w:rsid w:val="00140D9C"/>
    <w:rsid w:val="001413EC"/>
    <w:rsid w:val="0016471D"/>
    <w:rsid w:val="00174D66"/>
    <w:rsid w:val="001804EC"/>
    <w:rsid w:val="00181C62"/>
    <w:rsid w:val="001849C3"/>
    <w:rsid w:val="00193E3D"/>
    <w:rsid w:val="00197663"/>
    <w:rsid w:val="001A1660"/>
    <w:rsid w:val="001C07BE"/>
    <w:rsid w:val="001D63A0"/>
    <w:rsid w:val="001E063C"/>
    <w:rsid w:val="001E07D6"/>
    <w:rsid w:val="001E285D"/>
    <w:rsid w:val="0020185C"/>
    <w:rsid w:val="00210DDC"/>
    <w:rsid w:val="00223FB1"/>
    <w:rsid w:val="002243FE"/>
    <w:rsid w:val="00230EB8"/>
    <w:rsid w:val="00232591"/>
    <w:rsid w:val="00233D1B"/>
    <w:rsid w:val="002419A7"/>
    <w:rsid w:val="002513BA"/>
    <w:rsid w:val="00253198"/>
    <w:rsid w:val="00264918"/>
    <w:rsid w:val="00267CA6"/>
    <w:rsid w:val="002938C6"/>
    <w:rsid w:val="002A3260"/>
    <w:rsid w:val="002A54E0"/>
    <w:rsid w:val="002A61B6"/>
    <w:rsid w:val="002B5ED5"/>
    <w:rsid w:val="002C4FB7"/>
    <w:rsid w:val="002D7834"/>
    <w:rsid w:val="002E333A"/>
    <w:rsid w:val="002E34AA"/>
    <w:rsid w:val="002E5F36"/>
    <w:rsid w:val="002F13AD"/>
    <w:rsid w:val="002F5C70"/>
    <w:rsid w:val="0031233C"/>
    <w:rsid w:val="0034252F"/>
    <w:rsid w:val="00371C39"/>
    <w:rsid w:val="00376981"/>
    <w:rsid w:val="0038289A"/>
    <w:rsid w:val="00392649"/>
    <w:rsid w:val="003974FD"/>
    <w:rsid w:val="003C3F50"/>
    <w:rsid w:val="003D2CAB"/>
    <w:rsid w:val="003E37B2"/>
    <w:rsid w:val="003F1D8E"/>
    <w:rsid w:val="003F6E95"/>
    <w:rsid w:val="00404F0E"/>
    <w:rsid w:val="00427461"/>
    <w:rsid w:val="00440013"/>
    <w:rsid w:val="00447608"/>
    <w:rsid w:val="004579D2"/>
    <w:rsid w:val="0047056F"/>
    <w:rsid w:val="004738BD"/>
    <w:rsid w:val="004C2207"/>
    <w:rsid w:val="004C2987"/>
    <w:rsid w:val="004D2E75"/>
    <w:rsid w:val="004E1513"/>
    <w:rsid w:val="004F088D"/>
    <w:rsid w:val="005017E6"/>
    <w:rsid w:val="005026BB"/>
    <w:rsid w:val="0053270C"/>
    <w:rsid w:val="00545CA1"/>
    <w:rsid w:val="005532E9"/>
    <w:rsid w:val="00562B56"/>
    <w:rsid w:val="005716EA"/>
    <w:rsid w:val="00586567"/>
    <w:rsid w:val="00587893"/>
    <w:rsid w:val="005A00B8"/>
    <w:rsid w:val="005A5231"/>
    <w:rsid w:val="005D5B70"/>
    <w:rsid w:val="00601873"/>
    <w:rsid w:val="00603F8C"/>
    <w:rsid w:val="00613666"/>
    <w:rsid w:val="0061408D"/>
    <w:rsid w:val="00617D37"/>
    <w:rsid w:val="00617FA5"/>
    <w:rsid w:val="00650A0A"/>
    <w:rsid w:val="0065250D"/>
    <w:rsid w:val="006612F3"/>
    <w:rsid w:val="006740B8"/>
    <w:rsid w:val="006C2D08"/>
    <w:rsid w:val="006D1135"/>
    <w:rsid w:val="006E6A2A"/>
    <w:rsid w:val="00700955"/>
    <w:rsid w:val="00706544"/>
    <w:rsid w:val="00725AB1"/>
    <w:rsid w:val="007464FF"/>
    <w:rsid w:val="00751BCF"/>
    <w:rsid w:val="00753C64"/>
    <w:rsid w:val="007628D0"/>
    <w:rsid w:val="007749DB"/>
    <w:rsid w:val="00776712"/>
    <w:rsid w:val="007B5365"/>
    <w:rsid w:val="007D6C1D"/>
    <w:rsid w:val="0080043C"/>
    <w:rsid w:val="00805456"/>
    <w:rsid w:val="00811705"/>
    <w:rsid w:val="008125A6"/>
    <w:rsid w:val="00812FA2"/>
    <w:rsid w:val="00823AE8"/>
    <w:rsid w:val="00824363"/>
    <w:rsid w:val="008508E9"/>
    <w:rsid w:val="008568B1"/>
    <w:rsid w:val="00865484"/>
    <w:rsid w:val="0088097C"/>
    <w:rsid w:val="008956B7"/>
    <w:rsid w:val="008B470B"/>
    <w:rsid w:val="008E50CB"/>
    <w:rsid w:val="008F3FCB"/>
    <w:rsid w:val="00914579"/>
    <w:rsid w:val="00915A05"/>
    <w:rsid w:val="00925645"/>
    <w:rsid w:val="00934F81"/>
    <w:rsid w:val="00953CF3"/>
    <w:rsid w:val="009738A3"/>
    <w:rsid w:val="00992606"/>
    <w:rsid w:val="0099359E"/>
    <w:rsid w:val="00994701"/>
    <w:rsid w:val="00997954"/>
    <w:rsid w:val="009A1AB3"/>
    <w:rsid w:val="009B266C"/>
    <w:rsid w:val="009F6FEF"/>
    <w:rsid w:val="009F7D6C"/>
    <w:rsid w:val="00A54651"/>
    <w:rsid w:val="00A569E8"/>
    <w:rsid w:val="00A67404"/>
    <w:rsid w:val="00AA352F"/>
    <w:rsid w:val="00AB58BE"/>
    <w:rsid w:val="00AC165B"/>
    <w:rsid w:val="00AC4538"/>
    <w:rsid w:val="00AD7B8C"/>
    <w:rsid w:val="00AE4213"/>
    <w:rsid w:val="00B514BF"/>
    <w:rsid w:val="00B51CC9"/>
    <w:rsid w:val="00B57EA6"/>
    <w:rsid w:val="00B62A76"/>
    <w:rsid w:val="00B64823"/>
    <w:rsid w:val="00B64C4F"/>
    <w:rsid w:val="00B67EA8"/>
    <w:rsid w:val="00B7272B"/>
    <w:rsid w:val="00B92680"/>
    <w:rsid w:val="00BA5DC5"/>
    <w:rsid w:val="00BB4AF6"/>
    <w:rsid w:val="00BF2537"/>
    <w:rsid w:val="00BF3E5F"/>
    <w:rsid w:val="00C30DE0"/>
    <w:rsid w:val="00C31FEA"/>
    <w:rsid w:val="00C74581"/>
    <w:rsid w:val="00C76BCA"/>
    <w:rsid w:val="00C84CA4"/>
    <w:rsid w:val="00CA2190"/>
    <w:rsid w:val="00CA3C2A"/>
    <w:rsid w:val="00CA3D52"/>
    <w:rsid w:val="00CB155F"/>
    <w:rsid w:val="00CB5A70"/>
    <w:rsid w:val="00CD2D2D"/>
    <w:rsid w:val="00CE7CED"/>
    <w:rsid w:val="00CF2ED7"/>
    <w:rsid w:val="00CF6DE0"/>
    <w:rsid w:val="00D0764A"/>
    <w:rsid w:val="00D219E2"/>
    <w:rsid w:val="00D23260"/>
    <w:rsid w:val="00D57ADE"/>
    <w:rsid w:val="00D717B4"/>
    <w:rsid w:val="00DA03E1"/>
    <w:rsid w:val="00DA1FDA"/>
    <w:rsid w:val="00DA22A6"/>
    <w:rsid w:val="00DB2E33"/>
    <w:rsid w:val="00DB3C18"/>
    <w:rsid w:val="00DB46BA"/>
    <w:rsid w:val="00DC7D11"/>
    <w:rsid w:val="00DE236F"/>
    <w:rsid w:val="00DF0478"/>
    <w:rsid w:val="00E163F6"/>
    <w:rsid w:val="00E25BC3"/>
    <w:rsid w:val="00E31FE6"/>
    <w:rsid w:val="00E40A93"/>
    <w:rsid w:val="00E62F2A"/>
    <w:rsid w:val="00E714FE"/>
    <w:rsid w:val="00E8074D"/>
    <w:rsid w:val="00EA3D6D"/>
    <w:rsid w:val="00EB1E11"/>
    <w:rsid w:val="00EB2798"/>
    <w:rsid w:val="00EB7446"/>
    <w:rsid w:val="00ED6391"/>
    <w:rsid w:val="00EE4327"/>
    <w:rsid w:val="00EF0A88"/>
    <w:rsid w:val="00EF33D2"/>
    <w:rsid w:val="00EF5237"/>
    <w:rsid w:val="00F130E2"/>
    <w:rsid w:val="00F43718"/>
    <w:rsid w:val="00F568CC"/>
    <w:rsid w:val="00F61F29"/>
    <w:rsid w:val="00F6451D"/>
    <w:rsid w:val="00F81F22"/>
    <w:rsid w:val="00F833A6"/>
    <w:rsid w:val="00F95409"/>
    <w:rsid w:val="00FA69A8"/>
    <w:rsid w:val="00FC0BE9"/>
    <w:rsid w:val="00FC393C"/>
    <w:rsid w:val="00FC5492"/>
    <w:rsid w:val="00FD004D"/>
    <w:rsid w:val="00FD5F1F"/>
    <w:rsid w:val="00FF0D6B"/>
    <w:rsid w:val="00FF77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F36"/>
    <w:rPr>
      <w:rFonts w:ascii="Arial" w:hAnsi="Arial"/>
      <w:sz w:val="2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B4AF6"/>
    <w:rPr>
      <w:rFonts w:ascii="CG Times" w:hAnsi="CG Times"/>
      <w:color w:val="000000"/>
      <w:sz w:val="24"/>
      <w:szCs w:val="20"/>
      <w:lang w:val="en-US" w:eastAsia="en-US"/>
    </w:rPr>
  </w:style>
  <w:style w:type="paragraph" w:styleId="Header">
    <w:name w:val="header"/>
    <w:basedOn w:val="Normal"/>
    <w:rsid w:val="00210DDC"/>
    <w:pPr>
      <w:tabs>
        <w:tab w:val="center" w:pos="4153"/>
        <w:tab w:val="right" w:pos="8306"/>
      </w:tabs>
    </w:pPr>
  </w:style>
  <w:style w:type="paragraph" w:styleId="Footer">
    <w:name w:val="footer"/>
    <w:basedOn w:val="Normal"/>
    <w:rsid w:val="00210DDC"/>
    <w:pPr>
      <w:tabs>
        <w:tab w:val="center" w:pos="4153"/>
        <w:tab w:val="right" w:pos="8306"/>
      </w:tabs>
    </w:pPr>
  </w:style>
  <w:style w:type="character" w:styleId="Hyperlink">
    <w:name w:val="Hyperlink"/>
    <w:basedOn w:val="DefaultParagraphFont"/>
    <w:rsid w:val="000168A4"/>
    <w:rPr>
      <w:rFonts w:cs="Times New Roman"/>
      <w:color w:val="0000FF"/>
      <w:u w:val="single"/>
    </w:rPr>
  </w:style>
  <w:style w:type="character" w:styleId="Emphasis">
    <w:name w:val="Emphasis"/>
    <w:basedOn w:val="DefaultParagraphFont"/>
    <w:qFormat/>
    <w:rsid w:val="00617D37"/>
    <w:rPr>
      <w:rFonts w:cs="Times New Roman"/>
      <w:i/>
      <w:iCs/>
    </w:rPr>
  </w:style>
  <w:style w:type="paragraph" w:styleId="BalloonText">
    <w:name w:val="Balloon Text"/>
    <w:basedOn w:val="Normal"/>
    <w:link w:val="BalloonTextChar"/>
    <w:rsid w:val="0099359E"/>
    <w:rPr>
      <w:rFonts w:ascii="Tahoma" w:hAnsi="Tahoma" w:cs="Tahoma"/>
      <w:sz w:val="16"/>
      <w:szCs w:val="16"/>
    </w:rPr>
  </w:style>
  <w:style w:type="character" w:customStyle="1" w:styleId="BalloonTextChar">
    <w:name w:val="Balloon Text Char"/>
    <w:basedOn w:val="DefaultParagraphFont"/>
    <w:link w:val="BalloonText"/>
    <w:locked/>
    <w:rsid w:val="0099359E"/>
    <w:rPr>
      <w:rFonts w:ascii="Tahoma" w:hAnsi="Tahoma" w:cs="Tahoma"/>
      <w:sz w:val="16"/>
      <w:szCs w:val="16"/>
      <w:lang w:val="en-GB"/>
    </w:rPr>
  </w:style>
  <w:style w:type="table" w:styleId="TableGrid">
    <w:name w:val="Table Grid"/>
    <w:basedOn w:val="TableNormal"/>
    <w:rsid w:val="00776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1513"/>
  </w:style>
  <w:style w:type="paragraph" w:styleId="ListParagraph">
    <w:name w:val="List Paragraph"/>
    <w:basedOn w:val="Normal"/>
    <w:uiPriority w:val="34"/>
    <w:qFormat/>
    <w:rsid w:val="00DB3C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091224</vt:lpstr>
    </vt:vector>
  </TitlesOfParts>
  <Company>PricewaterhouseCoopers Ltd.</Company>
  <LinksUpToDate>false</LinksUpToDate>
  <CharactersWithSpaces>9780</CharactersWithSpaces>
  <SharedDoc>false</SharedDoc>
  <HLinks>
    <vt:vector size="6" baseType="variant">
      <vt:variant>
        <vt:i4>6357109</vt:i4>
      </vt:variant>
      <vt:variant>
        <vt:i4>0</vt:i4>
      </vt:variant>
      <vt:variant>
        <vt:i4>0</vt:i4>
      </vt:variant>
      <vt:variant>
        <vt:i4>5</vt:i4>
      </vt:variant>
      <vt:variant>
        <vt:lpwstr>mailto:vicky_sakura@ymail.com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091224</dc:title>
  <dc:subject/>
  <dc:creator>Vicky Wong</dc:creator>
  <cp:keywords/>
  <dc:description/>
  <cp:lastModifiedBy>Vincent To-Finance</cp:lastModifiedBy>
  <cp:revision>83</cp:revision>
  <cp:lastPrinted>2010-08-12T08:52:00Z</cp:lastPrinted>
  <dcterms:created xsi:type="dcterms:W3CDTF">2012-04-11T14:54:00Z</dcterms:created>
  <dcterms:modified xsi:type="dcterms:W3CDTF">2016-08-03T10:20:00Z</dcterms:modified>
</cp:coreProperties>
</file>