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C65B8" w:rsidRDefault="00DC65B8">
      <w:pPr>
        <w:spacing w:line="276" w:lineRule="auto"/>
      </w:pPr>
      <w:bookmarkStart w:id="0" w:name="_GoBack"/>
      <w:bookmarkEnd w:id="0"/>
    </w:p>
    <w:tbl>
      <w:tblPr>
        <w:tblStyle w:val="a7"/>
        <w:tblW w:w="10162" w:type="dxa"/>
        <w:tblInd w:w="-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08"/>
        <w:gridCol w:w="8254"/>
      </w:tblGrid>
      <w:tr w:rsidR="00DC65B8" w:rsidTr="00DC6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  <w:tcBorders>
              <w:right w:val="dotted" w:sz="4" w:space="0" w:color="000000"/>
            </w:tcBorders>
          </w:tcPr>
          <w:p w:rsidR="00DC65B8" w:rsidRDefault="00DC65B8">
            <w:pPr>
              <w:ind w:right="342"/>
              <w:contextualSpacing w:val="0"/>
              <w:jc w:val="right"/>
            </w:pPr>
          </w:p>
        </w:tc>
        <w:tc>
          <w:tcPr>
            <w:tcW w:w="8254" w:type="dxa"/>
            <w:tcBorders>
              <w:left w:val="dotted" w:sz="4" w:space="0" w:color="000000"/>
            </w:tcBorders>
          </w:tcPr>
          <w:p w:rsidR="00DC65B8" w:rsidRDefault="00DC65B8">
            <w:pPr>
              <w:ind w:left="252"/>
              <w:contextualSpacing w:val="0"/>
            </w:pPr>
          </w:p>
        </w:tc>
      </w:tr>
      <w:tr w:rsidR="00DC65B8" w:rsidTr="00DC65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08" w:type="dxa"/>
            <w:tcBorders>
              <w:right w:val="dotted" w:sz="4" w:space="0" w:color="000000"/>
            </w:tcBorders>
          </w:tcPr>
          <w:p w:rsidR="00DC65B8" w:rsidRDefault="00A84173">
            <w:pPr>
              <w:ind w:right="342"/>
              <w:contextualSpacing w:val="0"/>
              <w:jc w:val="right"/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RENA</w:t>
            </w:r>
          </w:p>
          <w:p w:rsidR="00DC65B8" w:rsidRDefault="00A84173">
            <w:pPr>
              <w:ind w:right="342"/>
              <w:contextualSpacing w:val="0"/>
              <w:jc w:val="right"/>
            </w:pPr>
            <w:r>
              <w:rPr>
                <w:rFonts w:ascii="Helvetica Neue" w:eastAsia="Helvetica Neue" w:hAnsi="Helvetica Neue" w:cs="Helvetica Neue"/>
                <w:b/>
                <w:sz w:val="28"/>
                <w:szCs w:val="28"/>
              </w:rPr>
              <w:t>TSOI</w:t>
            </w:r>
          </w:p>
          <w:p w:rsidR="00DC65B8" w:rsidRDefault="00DC65B8">
            <w:pPr>
              <w:ind w:right="342"/>
              <w:contextualSpacing w:val="0"/>
              <w:jc w:val="right"/>
            </w:pPr>
          </w:p>
          <w:p w:rsidR="00DC65B8" w:rsidRDefault="00DC65B8">
            <w:pPr>
              <w:ind w:right="342"/>
              <w:contextualSpacing w:val="0"/>
              <w:jc w:val="right"/>
            </w:pPr>
          </w:p>
          <w:p w:rsidR="00DC65B8" w:rsidRDefault="00A84173">
            <w:pPr>
              <w:ind w:right="342"/>
              <w:contextualSpacing w:val="0"/>
              <w:jc w:val="right"/>
            </w:pPr>
            <w:r>
              <w:rPr>
                <w:rFonts w:ascii="Helvetica Neue" w:eastAsia="Helvetica Neue" w:hAnsi="Helvetica Neue" w:cs="Helvetica Neue"/>
                <w:smallCaps/>
                <w:sz w:val="16"/>
                <w:szCs w:val="16"/>
              </w:rPr>
              <w:t>RENANATSOI</w:t>
            </w:r>
          </w:p>
          <w:p w:rsidR="00DC65B8" w:rsidRDefault="00A84173">
            <w:pPr>
              <w:ind w:right="342"/>
              <w:contextualSpacing w:val="0"/>
              <w:jc w:val="right"/>
            </w:pPr>
            <w:r>
              <w:rPr>
                <w:rFonts w:ascii="Helvetica Neue" w:eastAsia="Helvetica Neue" w:hAnsi="Helvetica Neue" w:cs="Helvetica Neue"/>
                <w:smallCaps/>
                <w:sz w:val="16"/>
                <w:szCs w:val="16"/>
              </w:rPr>
              <w:t>@GMAIL.COM</w:t>
            </w:r>
          </w:p>
          <w:p w:rsidR="00DC65B8" w:rsidRDefault="00DC65B8">
            <w:pPr>
              <w:ind w:right="342"/>
              <w:contextualSpacing w:val="0"/>
              <w:jc w:val="right"/>
            </w:pPr>
          </w:p>
          <w:p w:rsidR="00DC65B8" w:rsidRDefault="00A84173">
            <w:pPr>
              <w:ind w:right="342"/>
              <w:contextualSpacing w:val="0"/>
              <w:jc w:val="right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6234 6582</w:t>
            </w:r>
          </w:p>
        </w:tc>
        <w:tc>
          <w:tcPr>
            <w:tcW w:w="8254" w:type="dxa"/>
            <w:tcBorders>
              <w:left w:val="dotted" w:sz="4" w:space="0" w:color="000000"/>
            </w:tcBorders>
          </w:tcPr>
          <w:p w:rsidR="00DC65B8" w:rsidRDefault="00A84173">
            <w:pPr>
              <w:ind w:left="252"/>
              <w:contextualSpacing w:val="0"/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  <w:u w:val="single"/>
              </w:rPr>
              <w:t>EDUCATION AND PROFESSIONAL QUALIFICATIONS</w:t>
            </w:r>
          </w:p>
          <w:p w:rsidR="00DC65B8" w:rsidRDefault="00DC65B8">
            <w:pPr>
              <w:ind w:left="162"/>
              <w:contextualSpacing w:val="0"/>
            </w:pPr>
          </w:p>
          <w:tbl>
            <w:tblPr>
              <w:tblStyle w:val="a5"/>
              <w:tblW w:w="765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32"/>
              <w:gridCol w:w="5418"/>
            </w:tblGrid>
            <w:tr w:rsidR="00DC6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32" w:type="dxa"/>
                </w:tcPr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HONG KONG POLYTECHNIC UNIVERSITY</w:t>
                  </w:r>
                </w:p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sz w:val="16"/>
                      <w:szCs w:val="16"/>
                    </w:rPr>
                    <w:t>(2007-2010)</w:t>
                  </w:r>
                </w:p>
                <w:p w:rsidR="00DC65B8" w:rsidRDefault="00DC65B8">
                  <w:pPr>
                    <w:ind w:left="162"/>
                    <w:contextualSpacing w:val="0"/>
                  </w:pPr>
                </w:p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HONG KONG INSTITUTE OF CERTIFIED PUBLIC ACCOUNTANTS</w:t>
                  </w:r>
                </w:p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sz w:val="16"/>
                      <w:szCs w:val="16"/>
                    </w:rPr>
                    <w:t>(2014)</w:t>
                  </w:r>
                </w:p>
                <w:p w:rsidR="00DC65B8" w:rsidRDefault="00DC65B8">
                  <w:pPr>
                    <w:ind w:left="162"/>
                    <w:contextualSpacing w:val="0"/>
                  </w:pPr>
                </w:p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GLOBAL  ASSOCIATION OF RISK PROFESSIONALS</w:t>
                  </w:r>
                </w:p>
                <w:p w:rsidR="00DC65B8" w:rsidRDefault="00DC65B8">
                  <w:pPr>
                    <w:ind w:left="162"/>
                    <w:contextualSpacing w:val="0"/>
                  </w:pPr>
                </w:p>
              </w:tc>
              <w:tc>
                <w:tcPr>
                  <w:tcW w:w="5418" w:type="dxa"/>
                </w:tcPr>
                <w:p w:rsidR="00DC65B8" w:rsidRDefault="00A84173">
                  <w:pPr>
                    <w:spacing w:line="261" w:lineRule="auto"/>
                    <w:ind w:left="25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Bachelor of Business Administration in Accountancy (with Second Upper Class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Honours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)</w:t>
                  </w:r>
                </w:p>
                <w:p w:rsidR="00DC65B8" w:rsidRDefault="00DC65B8">
                  <w:pPr>
                    <w:spacing w:line="261" w:lineRule="auto"/>
                    <w:ind w:left="252"/>
                    <w:contextualSpacing w:val="0"/>
                  </w:pPr>
                </w:p>
                <w:p w:rsidR="00DC65B8" w:rsidRDefault="00DC65B8">
                  <w:pPr>
                    <w:ind w:left="252"/>
                    <w:contextualSpacing w:val="0"/>
                  </w:pPr>
                </w:p>
                <w:p w:rsidR="00DC65B8" w:rsidRDefault="00A84173">
                  <w:pPr>
                    <w:spacing w:line="261" w:lineRule="auto"/>
                    <w:ind w:left="25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Qualified member </w:t>
                  </w:r>
                </w:p>
                <w:p w:rsidR="00DC65B8" w:rsidRDefault="00DC65B8">
                  <w:pPr>
                    <w:spacing w:line="261" w:lineRule="auto"/>
                    <w:ind w:left="252"/>
                    <w:contextualSpacing w:val="0"/>
                  </w:pPr>
                </w:p>
                <w:p w:rsidR="00DC65B8" w:rsidRDefault="00DC65B8">
                  <w:pPr>
                    <w:spacing w:line="261" w:lineRule="auto"/>
                    <w:ind w:left="252"/>
                    <w:contextualSpacing w:val="0"/>
                  </w:pPr>
                </w:p>
                <w:p w:rsidR="00DC65B8" w:rsidRDefault="00DC65B8">
                  <w:pPr>
                    <w:spacing w:line="261" w:lineRule="auto"/>
                    <w:ind w:left="252"/>
                    <w:contextualSpacing w:val="0"/>
                  </w:pPr>
                </w:p>
                <w:p w:rsidR="00DC65B8" w:rsidRDefault="00DC65B8">
                  <w:pPr>
                    <w:spacing w:line="261" w:lineRule="auto"/>
                    <w:ind w:left="252"/>
                    <w:contextualSpacing w:val="0"/>
                  </w:pPr>
                </w:p>
                <w:p w:rsidR="00DC65B8" w:rsidRDefault="00DC65B8">
                  <w:pPr>
                    <w:spacing w:line="261" w:lineRule="auto"/>
                    <w:contextualSpacing w:val="0"/>
                  </w:pPr>
                </w:p>
                <w:p w:rsidR="00DC65B8" w:rsidRDefault="00A84173">
                  <w:pPr>
                    <w:spacing w:line="261" w:lineRule="auto"/>
                    <w:ind w:left="19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Passed Financial Risk Manager Part 1</w:t>
                  </w:r>
                </w:p>
                <w:p w:rsidR="00DC65B8" w:rsidRDefault="00DC65B8">
                  <w:pPr>
                    <w:ind w:left="252"/>
                    <w:contextualSpacing w:val="0"/>
                  </w:pPr>
                </w:p>
              </w:tc>
            </w:tr>
          </w:tbl>
          <w:p w:rsidR="00DC65B8" w:rsidRDefault="00A84173">
            <w:pPr>
              <w:ind w:left="162"/>
              <w:contextualSpacing w:val="0"/>
            </w:pP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</w:t>
            </w:r>
          </w:p>
          <w:p w:rsidR="00DC65B8" w:rsidRDefault="00A84173">
            <w:pPr>
              <w:ind w:left="252"/>
              <w:contextualSpacing w:val="0"/>
            </w:pP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  <w:u w:val="single"/>
              </w:rPr>
              <w:t>WORK EXPERIENCE</w:t>
            </w:r>
          </w:p>
          <w:p w:rsidR="00DC65B8" w:rsidRDefault="00DC65B8">
            <w:pPr>
              <w:ind w:left="162"/>
              <w:contextualSpacing w:val="0"/>
            </w:pPr>
          </w:p>
          <w:tbl>
            <w:tblPr>
              <w:tblStyle w:val="a6"/>
              <w:tblW w:w="8033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69"/>
              <w:gridCol w:w="143"/>
              <w:gridCol w:w="5621"/>
            </w:tblGrid>
            <w:tr w:rsidR="00DC6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69" w:type="dxa"/>
                </w:tcPr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Deloitte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Touche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Tohmatsu</w:t>
                  </w:r>
                </w:p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5764" w:type="dxa"/>
                  <w:gridSpan w:val="2"/>
                </w:tcPr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Senior Associate II (Global Finance Service Industry) February 2015 – January 2017</w:t>
                  </w:r>
                </w:p>
                <w:p w:rsidR="00DC65B8" w:rsidRDefault="00A84173">
                  <w:pPr>
                    <w:numPr>
                      <w:ilvl w:val="0"/>
                      <w:numId w:val="1"/>
                    </w:numPr>
                    <w:ind w:left="485" w:hanging="270"/>
                    <w:rPr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Specialized in the asset management industry with exposures to a diversified portfolio of clients such as private equity funds, real estate funds, and hedge funds</w:t>
                  </w:r>
                </w:p>
                <w:p w:rsidR="00DC65B8" w:rsidRDefault="00A84173">
                  <w:pPr>
                    <w:numPr>
                      <w:ilvl w:val="0"/>
                      <w:numId w:val="1"/>
                    </w:numPr>
                    <w:spacing w:line="261" w:lineRule="auto"/>
                    <w:ind w:left="435" w:hanging="270"/>
                    <w:jc w:val="both"/>
                    <w:rPr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Developed </w:t>
                  </w: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and managed audit engagements over financial reporting (HKFRS, IFRS &amp; USGAAP)</w:t>
                  </w:r>
                </w:p>
                <w:p w:rsidR="00DC65B8" w:rsidRDefault="00A84173">
                  <w:pPr>
                    <w:numPr>
                      <w:ilvl w:val="0"/>
                      <w:numId w:val="1"/>
                    </w:numPr>
                    <w:ind w:left="485" w:hanging="270"/>
                    <w:rPr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Performed valuation assessment on private equity investments, real estate properties and derivatives by using multiples, DCF analysis and other financial models</w:t>
                  </w:r>
                </w:p>
                <w:p w:rsidR="00DC65B8" w:rsidRDefault="00A84173">
                  <w:pPr>
                    <w:numPr>
                      <w:ilvl w:val="0"/>
                      <w:numId w:val="1"/>
                    </w:numPr>
                    <w:ind w:left="485" w:hanging="270"/>
                    <w:rPr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Examined the track record of private equity fund in accordance with attestation standards established by AICPA</w:t>
                  </w:r>
                </w:p>
                <w:p w:rsidR="00DC65B8" w:rsidRDefault="00A84173">
                  <w:pPr>
                    <w:numPr>
                      <w:ilvl w:val="0"/>
                      <w:numId w:val="1"/>
                    </w:numPr>
                    <w:ind w:left="485" w:hanging="270"/>
                    <w:rPr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Worked closely with Deloitte valuation team, tax team and different regional office to enhance the work efficiency and provide service excellence</w:t>
                  </w: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to clients</w:t>
                  </w:r>
                </w:p>
                <w:p w:rsidR="00DC65B8" w:rsidRDefault="00DC65B8">
                  <w:pPr>
                    <w:spacing w:line="261" w:lineRule="auto"/>
                    <w:contextualSpacing w:val="0"/>
                    <w:jc w:val="both"/>
                  </w:pPr>
                </w:p>
                <w:p w:rsidR="00DC65B8" w:rsidRDefault="00A84173">
                  <w:pPr>
                    <w:spacing w:line="261" w:lineRule="auto"/>
                    <w:contextualSpacing w:val="0"/>
                    <w:jc w:val="both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Representative clients:                             </w:t>
                  </w: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ab/>
                  </w:r>
                </w:p>
                <w:p w:rsidR="00DC65B8" w:rsidRDefault="00A84173">
                  <w:pPr>
                    <w:spacing w:line="261" w:lineRule="auto"/>
                    <w:contextualSpacing w:val="0"/>
                    <w:jc w:val="both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Baring Private Equity Asia</w:t>
                  </w:r>
                </w:p>
                <w:p w:rsidR="00DC65B8" w:rsidRDefault="00A84173">
                  <w:pPr>
                    <w:spacing w:line="261" w:lineRule="auto"/>
                    <w:contextualSpacing w:val="0"/>
                    <w:jc w:val="both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SAIF Partners China</w:t>
                  </w:r>
                </w:p>
                <w:p w:rsidR="00DC65B8" w:rsidRDefault="00A84173">
                  <w:pPr>
                    <w:spacing w:line="261" w:lineRule="auto"/>
                    <w:contextualSpacing w:val="0"/>
                    <w:jc w:val="both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SPQ Asia Capital</w:t>
                  </w:r>
                </w:p>
                <w:p w:rsidR="00DC65B8" w:rsidRDefault="00A84173">
                  <w:pPr>
                    <w:spacing w:line="261" w:lineRule="auto"/>
                    <w:contextualSpacing w:val="0"/>
                    <w:jc w:val="both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China-ASEAN Investment Cooperation Fund</w:t>
                  </w:r>
                </w:p>
                <w:p w:rsidR="00DC65B8" w:rsidRDefault="00DC65B8">
                  <w:pPr>
                    <w:contextualSpacing w:val="0"/>
                  </w:pPr>
                </w:p>
              </w:tc>
            </w:tr>
            <w:tr w:rsidR="00DC65B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269" w:type="dxa"/>
                </w:tcPr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lastRenderedPageBreak/>
                    <w:t>Hong Kong Export Credit Insurance Corporation</w:t>
                  </w: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5764" w:type="dxa"/>
                  <w:gridSpan w:val="2"/>
                </w:tcPr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Assistant Manager January 2014 – February 2015</w:t>
                  </w:r>
                </w:p>
                <w:p w:rsidR="00DC65B8" w:rsidRDefault="00A84173">
                  <w:pPr>
                    <w:numPr>
                      <w:ilvl w:val="0"/>
                      <w:numId w:val="1"/>
                    </w:numPr>
                    <w:spacing w:line="261" w:lineRule="auto"/>
                    <w:ind w:left="585" w:hanging="420"/>
                    <w:rPr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Evaluated the risks of individual companies. Identify any potential liquidity risk, credit risk and operational risk by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analysing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the financial statements and latest news of companies.</w:t>
                  </w:r>
                </w:p>
                <w:p w:rsidR="00DC65B8" w:rsidRDefault="00DC65B8">
                  <w:pPr>
                    <w:ind w:left="162"/>
                    <w:contextualSpacing w:val="0"/>
                  </w:pPr>
                </w:p>
              </w:tc>
            </w:tr>
            <w:tr w:rsidR="00DC6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69" w:type="dxa"/>
                </w:tcPr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Shun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Tak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Holding Limited</w:t>
                  </w: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5764" w:type="dxa"/>
                  <w:gridSpan w:val="2"/>
                </w:tcPr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Internal auditor January 2013 – January 2014</w:t>
                  </w:r>
                </w:p>
                <w:p w:rsidR="00DC65B8" w:rsidRDefault="00A84173">
                  <w:pPr>
                    <w:numPr>
                      <w:ilvl w:val="0"/>
                      <w:numId w:val="1"/>
                    </w:numPr>
                    <w:ind w:left="485" w:hanging="270"/>
                    <w:rPr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Ascertained that the system of internal controls over the key operations of the Company are adequate and are functioning properly and business objectives are achieved in an efficient an</w:t>
                  </w: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d effective manner</w:t>
                  </w:r>
                </w:p>
                <w:p w:rsidR="00DC65B8" w:rsidRDefault="00DC65B8">
                  <w:pPr>
                    <w:ind w:left="162"/>
                    <w:contextualSpacing w:val="0"/>
                  </w:pPr>
                </w:p>
              </w:tc>
            </w:tr>
            <w:tr w:rsidR="00DC65B8" w:rsidTr="00DC65B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440"/>
              </w:trPr>
              <w:tc>
                <w:tcPr>
                  <w:tcW w:w="2269" w:type="dxa"/>
                </w:tcPr>
                <w:p w:rsidR="00DC65B8" w:rsidRDefault="00A84173">
                  <w:pPr>
                    <w:ind w:left="162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Ernst &amp; Young</w:t>
                  </w: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br/>
                  </w:r>
                </w:p>
              </w:tc>
              <w:tc>
                <w:tcPr>
                  <w:tcW w:w="5764" w:type="dxa"/>
                  <w:gridSpan w:val="2"/>
                </w:tcPr>
                <w:p w:rsidR="00DC65B8" w:rsidRDefault="00A84173">
                  <w:pPr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  Staff Accountant October 2010 – January 2013</w:t>
                  </w:r>
                </w:p>
                <w:p w:rsidR="00DC65B8" w:rsidRDefault="00A84173">
                  <w:pPr>
                    <w:numPr>
                      <w:ilvl w:val="0"/>
                      <w:numId w:val="1"/>
                    </w:numPr>
                    <w:ind w:left="485" w:hanging="270"/>
                    <w:rPr>
                      <w:sz w:val="16"/>
                      <w:szCs w:val="16"/>
                    </w:rPr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Performed annual audit and interim review on various listed companies such as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Xtep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International Holding Limited (HKG: 1368),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Centron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Telecom International Holding Limited </w:t>
                  </w: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(HKG: 1155)</w:t>
                  </w:r>
                </w:p>
                <w:p w:rsidR="00DC65B8" w:rsidRDefault="00DC65B8">
                  <w:pPr>
                    <w:contextualSpacing w:val="0"/>
                  </w:pPr>
                </w:p>
              </w:tc>
            </w:tr>
            <w:tr w:rsidR="00DC6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69" w:type="dxa"/>
                </w:tcPr>
                <w:p w:rsidR="00DC65B8" w:rsidRDefault="00A84173">
                  <w:pPr>
                    <w:ind w:left="144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  <w:u w:val="single"/>
                    </w:rPr>
                    <w:t>Technical Skills</w:t>
                  </w:r>
                </w:p>
                <w:p w:rsidR="00DC65B8" w:rsidRDefault="00DC65B8">
                  <w:pPr>
                    <w:ind w:left="162"/>
                    <w:contextualSpacing w:val="0"/>
                  </w:pPr>
                </w:p>
                <w:p w:rsidR="00DC65B8" w:rsidRDefault="00DC65B8">
                  <w:pPr>
                    <w:ind w:left="162"/>
                    <w:contextualSpacing w:val="0"/>
                  </w:pPr>
                </w:p>
                <w:p w:rsidR="00DC65B8" w:rsidRDefault="00DC65B8">
                  <w:pPr>
                    <w:ind w:left="162"/>
                    <w:contextualSpacing w:val="0"/>
                  </w:pPr>
                </w:p>
                <w:p w:rsidR="00DC65B8" w:rsidRDefault="00DC65B8">
                  <w:pPr>
                    <w:ind w:left="162"/>
                    <w:contextualSpacing w:val="0"/>
                  </w:pPr>
                </w:p>
                <w:p w:rsidR="00DC65B8" w:rsidRDefault="00DC65B8">
                  <w:pPr>
                    <w:ind w:left="162"/>
                    <w:contextualSpacing w:val="0"/>
                  </w:pPr>
                </w:p>
                <w:p w:rsidR="00DC65B8" w:rsidRDefault="00DC65B8">
                  <w:pPr>
                    <w:ind w:left="162"/>
                    <w:contextualSpacing w:val="0"/>
                  </w:pPr>
                </w:p>
                <w:p w:rsidR="00DC65B8" w:rsidRDefault="00A84173">
                  <w:pPr>
                    <w:ind w:left="144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  <w:u w:val="single"/>
                    </w:rPr>
                    <w:t>Reference</w:t>
                  </w:r>
                </w:p>
                <w:p w:rsidR="00DC65B8" w:rsidRDefault="00DC65B8">
                  <w:pPr>
                    <w:ind w:left="144"/>
                    <w:contextualSpacing w:val="0"/>
                  </w:pPr>
                </w:p>
                <w:p w:rsidR="00DC65B8" w:rsidRDefault="00DC65B8">
                  <w:pPr>
                    <w:ind w:left="144"/>
                    <w:contextualSpacing w:val="0"/>
                  </w:pPr>
                </w:p>
                <w:p w:rsidR="00DC65B8" w:rsidRDefault="00DC65B8">
                  <w:pPr>
                    <w:ind w:left="144"/>
                    <w:contextualSpacing w:val="0"/>
                  </w:pPr>
                </w:p>
                <w:p w:rsidR="00DC65B8" w:rsidRDefault="00DC65B8">
                  <w:pPr>
                    <w:ind w:left="144"/>
                    <w:contextualSpacing w:val="0"/>
                  </w:pPr>
                </w:p>
                <w:p w:rsidR="00DC65B8" w:rsidRDefault="00DC65B8">
                  <w:pPr>
                    <w:ind w:left="144"/>
                    <w:contextualSpacing w:val="0"/>
                  </w:pPr>
                </w:p>
                <w:p w:rsidR="00DC65B8" w:rsidRDefault="00DC65B8">
                  <w:pPr>
                    <w:ind w:left="144"/>
                    <w:contextualSpacing w:val="0"/>
                  </w:pPr>
                </w:p>
                <w:p w:rsidR="00DC65B8" w:rsidRDefault="00DC65B8">
                  <w:pPr>
                    <w:ind w:left="144"/>
                    <w:contextualSpacing w:val="0"/>
                  </w:pPr>
                </w:p>
                <w:p w:rsidR="00DC65B8" w:rsidRDefault="00DC65B8">
                  <w:pPr>
                    <w:ind w:left="144"/>
                    <w:contextualSpacing w:val="0"/>
                  </w:pPr>
                </w:p>
                <w:p w:rsidR="00DC65B8" w:rsidRDefault="00A84173">
                  <w:pPr>
                    <w:ind w:left="144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  <w:u w:val="single"/>
                    </w:rPr>
                    <w:t>Latest Salary</w:t>
                  </w: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 </w:t>
                  </w:r>
                </w:p>
                <w:p w:rsidR="00DC65B8" w:rsidRDefault="00DC65B8">
                  <w:pPr>
                    <w:ind w:left="144"/>
                    <w:contextualSpacing w:val="0"/>
                  </w:pPr>
                </w:p>
              </w:tc>
              <w:tc>
                <w:tcPr>
                  <w:tcW w:w="5764" w:type="dxa"/>
                  <w:gridSpan w:val="2"/>
                </w:tcPr>
                <w:p w:rsidR="00DC65B8" w:rsidRDefault="00A84173">
                  <w:pPr>
                    <w:ind w:left="21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-   Good in mandarin and English</w:t>
                  </w:r>
                </w:p>
                <w:p w:rsidR="00DC65B8" w:rsidRDefault="00A84173">
                  <w:pPr>
                    <w:ind w:left="21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-   Possess solid project and client management skills</w:t>
                  </w:r>
                </w:p>
                <w:p w:rsidR="00DC65B8" w:rsidRDefault="00A84173">
                  <w:pPr>
                    <w:ind w:left="21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-   Ability to work in a high paced dynamic and stressful environment</w:t>
                  </w:r>
                </w:p>
                <w:p w:rsidR="00DC65B8" w:rsidRDefault="00A84173">
                  <w:pPr>
                    <w:ind w:left="21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-   Solution focused with the ability to work independently</w:t>
                  </w:r>
                </w:p>
                <w:p w:rsidR="00DC65B8" w:rsidRDefault="00DC65B8">
                  <w:pPr>
                    <w:ind w:left="215"/>
                    <w:contextualSpacing w:val="0"/>
                  </w:pPr>
                </w:p>
                <w:p w:rsidR="00DC65B8" w:rsidRDefault="00DC65B8">
                  <w:pPr>
                    <w:ind w:left="215"/>
                    <w:contextualSpacing w:val="0"/>
                  </w:pPr>
                </w:p>
                <w:p w:rsidR="00DC65B8" w:rsidRDefault="00A84173">
                  <w:pPr>
                    <w:ind w:left="21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Ted Ho</w:t>
                  </w:r>
                </w:p>
                <w:p w:rsidR="00DC65B8" w:rsidRDefault="00A84173">
                  <w:pPr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   Partner, Deloitte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Touche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Tohmatsu</w:t>
                  </w:r>
                </w:p>
                <w:p w:rsidR="00DC65B8" w:rsidRDefault="00A84173">
                  <w:pPr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   Office no.: 2852 6498</w:t>
                  </w:r>
                </w:p>
                <w:p w:rsidR="00DC65B8" w:rsidRDefault="00A84173">
                  <w:pPr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   Email: teho@deloitte.com.hk</w:t>
                  </w:r>
                </w:p>
                <w:p w:rsidR="00DC65B8" w:rsidRDefault="00DC65B8">
                  <w:pPr>
                    <w:ind w:left="215"/>
                    <w:contextualSpacing w:val="0"/>
                  </w:pPr>
                </w:p>
                <w:p w:rsidR="00DC65B8" w:rsidRDefault="00A84173">
                  <w:pPr>
                    <w:ind w:left="21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Adrian Yeung</w:t>
                  </w:r>
                </w:p>
                <w:p w:rsidR="00DC65B8" w:rsidRDefault="00A84173">
                  <w:pPr>
                    <w:ind w:left="21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Associate Director, Deloitte </w:t>
                  </w:r>
                  <w:proofErr w:type="spellStart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Touche</w:t>
                  </w:r>
                  <w:proofErr w:type="spellEnd"/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 Tohmatsu</w:t>
                  </w:r>
                </w:p>
                <w:p w:rsidR="00DC65B8" w:rsidRDefault="00A84173">
                  <w:pPr>
                    <w:ind w:left="21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Mobile: 9783 5411</w:t>
                  </w:r>
                </w:p>
                <w:p w:rsidR="00DC65B8" w:rsidRDefault="00A84173">
                  <w:pPr>
                    <w:ind w:left="215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 xml:space="preserve">Email: </w:t>
                  </w:r>
                  <w:hyperlink r:id="rId5">
                    <w:r>
                      <w:rPr>
                        <w:rFonts w:ascii="Helvetica Neue" w:eastAsia="Helvetica Neue" w:hAnsi="Helvetica Neue" w:cs="Helvetica Neue"/>
                        <w:b/>
                        <w:color w:val="1155CC"/>
                        <w:sz w:val="20"/>
                        <w:szCs w:val="20"/>
                        <w:u w:val="single"/>
                      </w:rPr>
                      <w:t>Adyeung@deloitte.com.hk</w:t>
                    </w:r>
                  </w:hyperlink>
                  <w:hyperlink r:id="rId6"/>
                </w:p>
                <w:p w:rsidR="00DC65B8" w:rsidRDefault="00A84173">
                  <w:pPr>
                    <w:ind w:left="215"/>
                    <w:contextualSpacing w:val="0"/>
                  </w:pPr>
                  <w:hyperlink r:id="rId7"/>
                </w:p>
                <w:p w:rsidR="00DC65B8" w:rsidRDefault="00A84173">
                  <w:pPr>
                    <w:ind w:left="144"/>
                    <w:contextualSpacing w:val="0"/>
                  </w:pPr>
                  <w:r>
                    <w:rPr>
                      <w:rFonts w:ascii="Helvetica Neue" w:eastAsia="Helvetica Neue" w:hAnsi="Helvetica Neue" w:cs="Helvetica Neue"/>
                      <w:b/>
                      <w:sz w:val="20"/>
                      <w:szCs w:val="20"/>
                    </w:rPr>
                    <w:t>HK$37,500 plus bonus</w:t>
                  </w:r>
                </w:p>
                <w:p w:rsidR="00DC65B8" w:rsidRDefault="00DC65B8">
                  <w:pPr>
                    <w:ind w:left="215"/>
                    <w:contextualSpacing w:val="0"/>
                  </w:pPr>
                </w:p>
                <w:p w:rsidR="00DC65B8" w:rsidRDefault="00DC65B8">
                  <w:pPr>
                    <w:contextualSpacing w:val="0"/>
                  </w:pPr>
                </w:p>
                <w:p w:rsidR="00DC65B8" w:rsidRDefault="00DC65B8">
                  <w:pPr>
                    <w:ind w:left="162"/>
                    <w:contextualSpacing w:val="0"/>
                  </w:pPr>
                </w:p>
              </w:tc>
            </w:tr>
            <w:tr w:rsidR="00DC65B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412" w:type="dxa"/>
                  <w:gridSpan w:val="2"/>
                </w:tcPr>
                <w:p w:rsidR="00DC65B8" w:rsidRDefault="00DC65B8">
                  <w:pPr>
                    <w:ind w:left="144"/>
                    <w:contextualSpacing w:val="0"/>
                  </w:pPr>
                </w:p>
              </w:tc>
              <w:tc>
                <w:tcPr>
                  <w:tcW w:w="5621" w:type="dxa"/>
                </w:tcPr>
                <w:p w:rsidR="00DC65B8" w:rsidRDefault="00DC65B8">
                  <w:pPr>
                    <w:ind w:left="72"/>
                    <w:contextualSpacing w:val="0"/>
                  </w:pPr>
                </w:p>
                <w:p w:rsidR="00DC65B8" w:rsidRDefault="00DC65B8">
                  <w:pPr>
                    <w:contextualSpacing w:val="0"/>
                  </w:pPr>
                </w:p>
                <w:p w:rsidR="00DC65B8" w:rsidRDefault="00DC65B8">
                  <w:pPr>
                    <w:contextualSpacing w:val="0"/>
                  </w:pPr>
                </w:p>
              </w:tc>
            </w:tr>
            <w:tr w:rsidR="00DC6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69" w:type="dxa"/>
                </w:tcPr>
                <w:p w:rsidR="00DC65B8" w:rsidRDefault="00DC65B8">
                  <w:pPr>
                    <w:ind w:left="144"/>
                    <w:contextualSpacing w:val="0"/>
                  </w:pPr>
                </w:p>
              </w:tc>
              <w:tc>
                <w:tcPr>
                  <w:tcW w:w="5764" w:type="dxa"/>
                  <w:gridSpan w:val="2"/>
                </w:tcPr>
                <w:p w:rsidR="00DC65B8" w:rsidRDefault="00DC65B8">
                  <w:pPr>
                    <w:ind w:left="215"/>
                    <w:contextualSpacing w:val="0"/>
                  </w:pPr>
                </w:p>
              </w:tc>
            </w:tr>
          </w:tbl>
          <w:p w:rsidR="00DC65B8" w:rsidRDefault="00DC65B8">
            <w:pPr>
              <w:ind w:left="162"/>
              <w:contextualSpacing w:val="0"/>
            </w:pPr>
          </w:p>
        </w:tc>
      </w:tr>
    </w:tbl>
    <w:p w:rsidR="00DC65B8" w:rsidRDefault="00DC65B8"/>
    <w:sectPr w:rsidR="00DC65B8"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38C7"/>
    <w:multiLevelType w:val="multilevel"/>
    <w:tmpl w:val="F87C39A2"/>
    <w:lvl w:ilvl="0">
      <w:start w:val="1"/>
      <w:numFmt w:val="bullet"/>
      <w:lvlText w:val="▪"/>
      <w:lvlJc w:val="left"/>
      <w:pPr>
        <w:ind w:left="1062" w:firstLine="176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2" w:firstLine="320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2" w:firstLine="464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2" w:firstLine="608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2" w:firstLine="752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2" w:firstLine="896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2" w:firstLine="1040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2" w:firstLine="1184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2" w:firstLine="13284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B8"/>
    <w:rsid w:val="00A84173"/>
    <w:rsid w:val="00A84BD2"/>
    <w:rsid w:val="00DC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8DFFB8-D047-4289-A56C-0105E5FD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rFonts w:eastAsia="Calibri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rFonts w:eastAsia="Calibri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rFonts w:eastAsia="Calibri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rFonts w:eastAsia="Calibri"/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rFonts w:eastAsia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rFonts w:eastAsia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rFonts w:eastAsia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yeung@deloitte.com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yeung@deloitte.com.hk" TargetMode="External"/><Relationship Id="rId5" Type="http://schemas.openxmlformats.org/officeDocument/2006/relationships/hyperlink" Target="mailto:Adyeung@deloitte.com.h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 Wong</cp:lastModifiedBy>
  <cp:revision>2</cp:revision>
  <dcterms:created xsi:type="dcterms:W3CDTF">2017-02-17T11:05:00Z</dcterms:created>
  <dcterms:modified xsi:type="dcterms:W3CDTF">2017-02-17T11:05:00Z</dcterms:modified>
</cp:coreProperties>
</file>