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7"/>
        <w:tblW w:w="1018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4"/>
        <w:gridCol w:w="493"/>
        <w:gridCol w:w="767"/>
        <w:gridCol w:w="360"/>
        <w:gridCol w:w="928"/>
        <w:gridCol w:w="31"/>
        <w:gridCol w:w="301"/>
        <w:gridCol w:w="1080"/>
        <w:gridCol w:w="180"/>
        <w:gridCol w:w="180"/>
        <w:gridCol w:w="180"/>
        <w:gridCol w:w="205"/>
        <w:gridCol w:w="1263"/>
        <w:gridCol w:w="332"/>
        <w:gridCol w:w="360"/>
        <w:gridCol w:w="30"/>
        <w:gridCol w:w="2670"/>
      </w:tblGrid>
      <w:tr>
        <w:trPr>
          <w:cantSplit/>
        </w:trPr>
        <w:tc>
          <w:tcPr>
            <w:tcW w:w="10184" w:type="dxa"/>
            <w:gridSpan w:val="17"/>
          </w:tcPr>
          <w:p>
            <w:pPr>
              <w:pStyle w:val="Heading1"/>
              <w:rPr>
                <w:color w:val="333333"/>
                <w:u w:val="single"/>
              </w:rPr>
            </w:pPr>
            <w:r>
              <w:rPr>
                <w:color w:val="333333"/>
                <w:sz w:val="22"/>
                <w:szCs w:val="22"/>
                <w:u w:val="single"/>
              </w:rPr>
              <w:t>Resume-</w:t>
            </w:r>
            <w:r>
              <w:rPr>
                <w:rFonts w:hint="eastAsia"/>
                <w:color w:val="333333"/>
                <w:sz w:val="22"/>
                <w:szCs w:val="22"/>
                <w:u w:val="single"/>
              </w:rPr>
              <w:t>Personal</w:t>
            </w:r>
            <w:r>
              <w:rPr>
                <w:color w:val="333333"/>
                <w:sz w:val="22"/>
                <w:szCs w:val="22"/>
                <w:u w:val="single"/>
              </w:rPr>
              <w:t xml:space="preserve"> </w:t>
            </w:r>
            <w:r>
              <w:rPr>
                <w:rFonts w:hint="eastAsia"/>
                <w:color w:val="333333"/>
                <w:sz w:val="22"/>
                <w:szCs w:val="22"/>
                <w:u w:val="single"/>
              </w:rPr>
              <w:t>Data</w:t>
            </w:r>
          </w:p>
        </w:tc>
      </w:tr>
      <w:tr>
        <w:tc>
          <w:tcPr>
            <w:tcW w:w="824" w:type="dxa"/>
          </w:tcPr>
          <w:p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Name:</w:t>
            </w:r>
          </w:p>
        </w:tc>
        <w:tc>
          <w:tcPr>
            <w:tcW w:w="2548" w:type="dxa"/>
            <w:gridSpan w:val="4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Choi</w:t>
            </w:r>
          </w:p>
        </w:tc>
        <w:tc>
          <w:tcPr>
            <w:tcW w:w="332" w:type="dxa"/>
            <w:gridSpan w:val="2"/>
          </w:tcPr>
          <w:p>
            <w:pPr>
              <w:spacing w:line="360" w:lineRule="auto"/>
              <w:rPr>
                <w:color w:val="333333"/>
              </w:rPr>
            </w:pPr>
          </w:p>
        </w:tc>
        <w:tc>
          <w:tcPr>
            <w:tcW w:w="3088" w:type="dxa"/>
            <w:gridSpan w:val="6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Yee Ting</w:t>
            </w:r>
          </w:p>
        </w:tc>
        <w:tc>
          <w:tcPr>
            <w:tcW w:w="332" w:type="dxa"/>
          </w:tcPr>
          <w:p>
            <w:pPr>
              <w:spacing w:line="360" w:lineRule="auto"/>
            </w:pP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蔡綺婷</w:t>
            </w:r>
            <w:r>
              <w:rPr>
                <w:rStyle w:val="apple-converted-space"/>
                <w:rFonts w:ascii="Arial" w:hAnsi="Arial" w:cs="Arial"/>
                <w:sz w:val="22"/>
                <w:szCs w:val="22"/>
                <w:shd w:val="clear" w:color="auto" w:fill="FFFFFF"/>
              </w:rPr>
              <w:t> </w:t>
            </w:r>
          </w:p>
        </w:tc>
      </w:tr>
      <w:tr>
        <w:tc>
          <w:tcPr>
            <w:tcW w:w="824" w:type="dxa"/>
          </w:tcPr>
          <w:p>
            <w:pPr>
              <w:rPr>
                <w:color w:val="333333"/>
              </w:rPr>
            </w:pPr>
          </w:p>
        </w:tc>
        <w:tc>
          <w:tcPr>
            <w:tcW w:w="2548" w:type="dxa"/>
            <w:gridSpan w:val="4"/>
          </w:tcPr>
          <w:p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Surname</w:t>
            </w:r>
          </w:p>
        </w:tc>
        <w:tc>
          <w:tcPr>
            <w:tcW w:w="332" w:type="dxa"/>
            <w:gridSpan w:val="2"/>
          </w:tcPr>
          <w:p>
            <w:pPr>
              <w:rPr>
                <w:color w:val="333333"/>
              </w:rPr>
            </w:pPr>
          </w:p>
        </w:tc>
        <w:tc>
          <w:tcPr>
            <w:tcW w:w="3088" w:type="dxa"/>
            <w:gridSpan w:val="6"/>
          </w:tcPr>
          <w:p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First Name</w:t>
            </w:r>
          </w:p>
        </w:tc>
        <w:tc>
          <w:tcPr>
            <w:tcW w:w="332" w:type="dxa"/>
          </w:tcPr>
          <w:p>
            <w:pPr>
              <w:rPr>
                <w:color w:val="333333"/>
              </w:rPr>
            </w:pPr>
          </w:p>
        </w:tc>
        <w:tc>
          <w:tcPr>
            <w:tcW w:w="3060" w:type="dxa"/>
            <w:gridSpan w:val="3"/>
          </w:tcPr>
          <w:p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Chinese Name</w:t>
            </w:r>
          </w:p>
        </w:tc>
      </w:tr>
      <w:tr>
        <w:trPr>
          <w:cantSplit/>
        </w:trPr>
        <w:tc>
          <w:tcPr>
            <w:tcW w:w="1317" w:type="dxa"/>
            <w:gridSpan w:val="2"/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Address:</w:t>
            </w:r>
          </w:p>
        </w:tc>
        <w:tc>
          <w:tcPr>
            <w:tcW w:w="8867" w:type="dxa"/>
            <w:gridSpan w:val="15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 xml:space="preserve">Flat A, 6/F, Shun Fai Building, 19 </w:t>
            </w:r>
            <w:proofErr w:type="spellStart"/>
            <w:r>
              <w:rPr>
                <w:color w:val="333333"/>
                <w:sz w:val="22"/>
                <w:szCs w:val="22"/>
              </w:rPr>
              <w:t>Hau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Wo street, Kennedy Town, Hong Kong</w:t>
            </w:r>
          </w:p>
        </w:tc>
      </w:tr>
      <w:tr>
        <w:trPr>
          <w:cantSplit/>
        </w:trPr>
        <w:tc>
          <w:tcPr>
            <w:tcW w:w="2444" w:type="dxa"/>
            <w:gridSpan w:val="4"/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Contact Telephone No:</w:t>
            </w:r>
          </w:p>
        </w:tc>
        <w:tc>
          <w:tcPr>
            <w:tcW w:w="2700" w:type="dxa"/>
            <w:gridSpan w:val="6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9855 8370</w:t>
            </w:r>
          </w:p>
        </w:tc>
        <w:tc>
          <w:tcPr>
            <w:tcW w:w="180" w:type="dxa"/>
          </w:tcPr>
          <w:p>
            <w:pPr>
              <w:spacing w:line="360" w:lineRule="auto"/>
              <w:rPr>
                <w:color w:val="333333"/>
              </w:rPr>
            </w:pPr>
          </w:p>
        </w:tc>
        <w:tc>
          <w:tcPr>
            <w:tcW w:w="1800" w:type="dxa"/>
            <w:gridSpan w:val="3"/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E-mail Address: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color w:val="333333"/>
              </w:rPr>
            </w:pPr>
          </w:p>
          <w:p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choiyeeting@yahoo.com.hk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18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b/>
                <w:bCs/>
                <w:color w:val="333333"/>
                <w:u w:val="single"/>
              </w:rPr>
            </w:pPr>
          </w:p>
          <w:p>
            <w:pPr>
              <w:spacing w:line="360" w:lineRule="auto"/>
              <w:ind w:rightChars="-109" w:right="-262"/>
              <w:rPr>
                <w:b/>
                <w:bCs/>
                <w:color w:val="333333"/>
                <w:u w:val="single"/>
              </w:rPr>
            </w:pPr>
            <w:r>
              <w:rPr>
                <w:rFonts w:hint="eastAsia"/>
                <w:b/>
                <w:bCs/>
                <w:color w:val="333333"/>
                <w:sz w:val="22"/>
                <w:szCs w:val="22"/>
                <w:u w:val="single"/>
              </w:rPr>
              <w:t>Tertiary Education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4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Institution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From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To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1" w:right="-26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Major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15"/>
        </w:trPr>
        <w:tc>
          <w:tcPr>
            <w:tcW w:w="34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 xml:space="preserve">Macquarie University 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25/10/2010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29/10/2012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1" w:right="-26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Professional Accounting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  <w:tc>
          <w:tcPr>
            <w:tcW w:w="25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Date of Graduation:</w:t>
            </w:r>
          </w:p>
        </w:tc>
        <w:tc>
          <w:tcPr>
            <w:tcW w:w="27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29/10/2012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color w:val="333333"/>
              </w:rPr>
            </w:pPr>
          </w:p>
        </w:tc>
        <w:tc>
          <w:tcPr>
            <w:tcW w:w="25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color w:val="333333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 xml:space="preserve">Overall results </w:t>
            </w:r>
            <w:r>
              <w:rPr>
                <w:color w:val="333333"/>
                <w:sz w:val="22"/>
                <w:szCs w:val="22"/>
              </w:rPr>
              <w:t>(GPA)</w:t>
            </w:r>
            <w:r>
              <w:rPr>
                <w:rFonts w:hint="eastAsia"/>
                <w:color w:val="333333"/>
                <w:sz w:val="22"/>
                <w:szCs w:val="22"/>
              </w:rPr>
              <w:t>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2"/>
                <w:szCs w:val="22"/>
              </w:rPr>
              <w:t>2.8/4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18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Chars="-109" w:right="-262"/>
              <w:rPr>
                <w:color w:val="333333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18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360" w:lineRule="auto"/>
              <w:ind w:rightChars="-109" w:right="-262"/>
              <w:rPr>
                <w:b/>
                <w:color w:val="333333"/>
                <w:u w:val="single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  <w:u w:val="single"/>
              </w:rPr>
              <w:t>Professional Examination: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75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ind w:rightChars="-109" w:right="-262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Name of Association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ind w:right="-109"/>
              <w:rPr>
                <w:b/>
                <w:color w:val="333333"/>
              </w:rPr>
            </w:pPr>
            <w:r>
              <w:rPr>
                <w:rFonts w:hint="eastAsia"/>
                <w:b/>
                <w:color w:val="333333"/>
                <w:sz w:val="22"/>
                <w:szCs w:val="22"/>
              </w:rPr>
              <w:t>Result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03"/>
        </w:trPr>
        <w:tc>
          <w:tcPr>
            <w:tcW w:w="75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</w:pPr>
            <w:r>
              <w:t>Level 2 Certificate in Book-keeping and accounts</w:t>
            </w:r>
          </w:p>
          <w:p>
            <w:pPr>
              <w:ind w:rightChars="-109" w:right="-262"/>
            </w:pPr>
            <w:r>
              <w:t xml:space="preserve">CPA Australia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Chars="-109" w:right="-262"/>
              <w:rPr>
                <w:color w:val="333333"/>
              </w:rPr>
            </w:pPr>
            <w:r>
              <w:t>Pass with Distinction</w:t>
            </w:r>
          </w:p>
          <w:p>
            <w:pPr>
              <w:ind w:right="-109"/>
              <w:rPr>
                <w:color w:val="333333"/>
              </w:rPr>
            </w:pPr>
            <w:r>
              <w:rPr>
                <w:color w:val="333333"/>
              </w:rPr>
              <w:t>Qualified</w:t>
            </w:r>
          </w:p>
        </w:tc>
      </w:tr>
    </w:tbl>
    <w:p/>
    <w:p>
      <w:pPr>
        <w:ind w:rightChars="-109" w:right="-262"/>
        <w:rPr>
          <w:b/>
          <w:color w:val="333333"/>
          <w:sz w:val="22"/>
          <w:szCs w:val="22"/>
          <w:u w:val="single"/>
        </w:rPr>
      </w:pPr>
      <w:r>
        <w:rPr>
          <w:b/>
          <w:color w:val="333333"/>
          <w:sz w:val="22"/>
          <w:szCs w:val="22"/>
          <w:u w:val="single"/>
        </w:rPr>
        <w:t>Working experience</w:t>
      </w:r>
    </w:p>
    <w:p>
      <w:pPr>
        <w:ind w:left="-142" w:rightChars="-109" w:right="-262" w:firstLine="142"/>
        <w:rPr>
          <w:b/>
          <w:color w:val="333333"/>
          <w:sz w:val="22"/>
          <w:szCs w:val="22"/>
          <w:u w:val="single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4077"/>
        <w:gridCol w:w="6804"/>
      </w:tblGrid>
      <w:tr>
        <w:trPr>
          <w:trHeight w:val="887"/>
        </w:trPr>
        <w:tc>
          <w:tcPr>
            <w:tcW w:w="4077" w:type="dxa"/>
          </w:tcPr>
          <w:p>
            <w:pPr>
              <w:ind w:rightChars="-109" w:right="-262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Intertrust</w:t>
            </w:r>
            <w:proofErr w:type="spellEnd"/>
            <w:r>
              <w:rPr>
                <w:b/>
                <w:color w:val="333333"/>
              </w:rPr>
              <w:t xml:space="preserve"> Group Hong Kong</w:t>
            </w:r>
          </w:p>
          <w:p>
            <w:pPr>
              <w:ind w:rightChars="-109" w:right="-262"/>
              <w:rPr>
                <w:color w:val="333333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</w:rPr>
            </w:pPr>
            <w:r>
              <w:rPr>
                <w:color w:val="333333"/>
              </w:rPr>
              <w:t>3 - 10/2013</w:t>
            </w:r>
          </w:p>
        </w:tc>
        <w:tc>
          <w:tcPr>
            <w:tcW w:w="6804" w:type="dxa"/>
          </w:tcPr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Calculate monthly payroll and MPF</w:t>
            </w: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Prepare employer tax return</w:t>
            </w: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Perform treasury functions</w:t>
            </w: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0"/>
                <w:szCs w:val="20"/>
              </w:rPr>
              <w:t>Do some simple accounting &amp; audit jobs</w:t>
            </w:r>
          </w:p>
        </w:tc>
      </w:tr>
      <w:tr>
        <w:trPr>
          <w:trHeight w:val="2027"/>
        </w:trPr>
        <w:tc>
          <w:tcPr>
            <w:tcW w:w="4077" w:type="dxa"/>
          </w:tcPr>
          <w:p>
            <w:pPr>
              <w:ind w:rightChars="-109" w:right="-262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Boardroom Corporate Services (HK) Ltd</w:t>
            </w:r>
          </w:p>
          <w:p>
            <w:pPr>
              <w:ind w:rightChars="-109" w:right="-262"/>
              <w:rPr>
                <w:color w:val="333333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</w:rPr>
            </w:pPr>
            <w:r>
              <w:rPr>
                <w:color w:val="333333"/>
              </w:rPr>
              <w:t>11/2013 – 8/2015</w:t>
            </w:r>
          </w:p>
        </w:tc>
        <w:tc>
          <w:tcPr>
            <w:tcW w:w="6804" w:type="dxa"/>
          </w:tcPr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</w:rPr>
              <w:t xml:space="preserve">       -</w:t>
            </w:r>
            <w:r>
              <w:rPr>
                <w:color w:val="333333"/>
              </w:rPr>
              <w:tab/>
            </w:r>
            <w:r>
              <w:rPr>
                <w:color w:val="333333"/>
                <w:sz w:val="20"/>
                <w:szCs w:val="20"/>
              </w:rPr>
              <w:t>Open bank accounts for my clients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color w:val="333333"/>
                <w:sz w:val="20"/>
                <w:szCs w:val="20"/>
              </w:rPr>
              <w:t>i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) Fill in all the forms, 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      ii) Collect all the required information from my client, 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      iii) Gather all the information and then send to the bank</w:t>
            </w:r>
          </w:p>
          <w:p>
            <w:pPr>
              <w:ind w:left="743" w:rightChars="-109" w:right="-262" w:hanging="743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      iv) Ask bank’s queries about the bank account opening  issues on behalf of  the clients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-      Prepare monthly,  year-end financial and payroll reports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-</w:t>
            </w:r>
            <w:r>
              <w:rPr>
                <w:color w:val="333333"/>
                <w:sz w:val="20"/>
                <w:szCs w:val="20"/>
              </w:rPr>
              <w:tab/>
              <w:t>Prepare employer tax return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-</w:t>
            </w:r>
            <w:r>
              <w:rPr>
                <w:color w:val="333333"/>
                <w:sz w:val="20"/>
                <w:szCs w:val="20"/>
              </w:rPr>
              <w:tab/>
              <w:t>Perform treasury functions</w:t>
            </w:r>
          </w:p>
          <w:p>
            <w:pPr>
              <w:ind w:rightChars="-109" w:right="-26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  -      Renewal of Employees’ Compensation Insurance</w:t>
            </w:r>
          </w:p>
          <w:p>
            <w:pPr>
              <w:ind w:rightChars="-109" w:right="-262"/>
              <w:rPr>
                <w:color w:val="333333"/>
              </w:rPr>
            </w:pPr>
            <w:r>
              <w:rPr>
                <w:color w:val="333333"/>
                <w:sz w:val="20"/>
                <w:szCs w:val="20"/>
              </w:rPr>
              <w:t xml:space="preserve">       -      MPF account setup</w:t>
            </w:r>
          </w:p>
        </w:tc>
      </w:tr>
      <w:tr>
        <w:trPr>
          <w:trHeight w:val="2114"/>
        </w:trPr>
        <w:tc>
          <w:tcPr>
            <w:tcW w:w="4077" w:type="dxa"/>
          </w:tcPr>
          <w:p>
            <w:pPr>
              <w:ind w:rightChars="-109" w:right="-262"/>
              <w:rPr>
                <w:b/>
                <w:color w:val="333333"/>
              </w:rPr>
            </w:pPr>
            <w:hyperlink r:id="rId8" w:history="1">
              <w:r>
                <w:rPr>
                  <w:b/>
                  <w:color w:val="333333"/>
                </w:rPr>
                <w:t>PricewaterhouseCoopers Hong Kong</w:t>
              </w:r>
            </w:hyperlink>
          </w:p>
          <w:p>
            <w:pPr>
              <w:ind w:rightChars="-109" w:right="-262"/>
              <w:rPr>
                <w:color w:val="333333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ind w:rightChars="-109" w:right="-262"/>
              <w:rPr>
                <w:color w:val="333333"/>
              </w:rPr>
            </w:pPr>
            <w:r>
              <w:rPr>
                <w:color w:val="333333"/>
              </w:rPr>
              <w:t>8/2015 - Current</w:t>
            </w:r>
          </w:p>
        </w:tc>
        <w:tc>
          <w:tcPr>
            <w:tcW w:w="6804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Prepare management accounts, breakdowns and other reconciliation schedules, cash flow statements and consolidation (full set accounting)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176"/>
              </w:tabs>
              <w:spacing w:before="100" w:beforeAutospacing="1" w:after="100" w:afterAutospacing="1"/>
              <w:ind w:left="601" w:hanging="85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-      Perform treasury functions (settle clients’ reimbursement, AP and AR)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Handle payroll and payment processing, MPF calculations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Prepare employer’s returns and notifications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Handle initial accounting / payroll database set up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Liaise with the external parties if required (e.g. banks, MPF service providers, tax authority and auditors, etc.)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04041"/>
                <w:kern w:val="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>Attend to clients’ enquiries</w:t>
            </w:r>
            <w:r>
              <w:rPr>
                <w:rFonts w:ascii="Arial" w:eastAsia="Times New Roman" w:hAnsi="Arial" w:cs="Arial"/>
                <w:color w:val="404041"/>
                <w:kern w:val="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>
      <w:pPr>
        <w:ind w:rightChars="-109" w:right="-262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Current salary: HKD16</w:t>
      </w:r>
      <w:proofErr w:type="gramStart"/>
      <w:r>
        <w:rPr>
          <w:color w:val="333333"/>
          <w:sz w:val="22"/>
          <w:szCs w:val="22"/>
        </w:rPr>
        <w:t>,650</w:t>
      </w:r>
      <w:proofErr w:type="gramEnd"/>
      <w:r>
        <w:rPr>
          <w:color w:val="333333"/>
          <w:sz w:val="22"/>
          <w:szCs w:val="22"/>
        </w:rPr>
        <w:t xml:space="preserve"> </w:t>
      </w:r>
    </w:p>
    <w:p>
      <w:pPr>
        <w:ind w:rightChars="-109" w:right="-262"/>
        <w:rPr>
          <w:color w:val="333333"/>
          <w:sz w:val="22"/>
          <w:szCs w:val="22"/>
        </w:rPr>
      </w:pPr>
      <w:bookmarkStart w:id="0" w:name="_GoBack"/>
      <w:bookmarkEnd w:id="0"/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tabs>
        <w:tab w:val="left" w:pos="1260"/>
      </w:tabs>
      <w:ind w:leftChars="-150" w:left="-360"/>
      <w:rPr>
        <w:color w:val="333333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-540385</wp:posOffset>
          </wp:positionV>
          <wp:extent cx="8191500" cy="276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734"/>
    <w:multiLevelType w:val="hybridMultilevel"/>
    <w:tmpl w:val="C436F8AE"/>
    <w:lvl w:ilvl="0" w:tplc="1096CE08">
      <w:start w:val="985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F4627"/>
    <w:multiLevelType w:val="hybridMultilevel"/>
    <w:tmpl w:val="F49A4AF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6B560462"/>
    <w:multiLevelType w:val="multilevel"/>
    <w:tmpl w:val="C6A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16C7C"/>
    <w:multiLevelType w:val="hybridMultilevel"/>
    <w:tmpl w:val="F49A4AF6"/>
    <w:lvl w:ilvl="0" w:tplc="4E34B54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rightChars="-109" w:right="-2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rightChars="-109" w:right="-262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360" w:lineRule="auto"/>
      <w:ind w:rightChars="-109" w:right="-262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link w:val="Heading6Char"/>
    <w:qFormat/>
    <w:pPr>
      <w:keepNext/>
      <w:spacing w:line="360" w:lineRule="auto"/>
      <w:ind w:rightChars="-109" w:right="-262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PMingLiU" w:hAnsi="Times New Roman" w:cs="Times New Roman"/>
      <w:b/>
      <w:bCs/>
      <w:kern w:val="2"/>
      <w:sz w:val="24"/>
      <w:szCs w:val="24"/>
      <w:lang w:val="en-US" w:eastAsia="zh-TW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PMingLiU" w:hAnsi="Times New Roman" w:cs="Times New Roman"/>
      <w:b/>
      <w:bCs/>
      <w:kern w:val="2"/>
      <w:sz w:val="24"/>
      <w:szCs w:val="24"/>
      <w:lang w:val="en-US" w:eastAsia="zh-TW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PMingLiU" w:hAnsi="Times New Roman" w:cs="Times New Roman"/>
      <w:b/>
      <w:bCs/>
      <w:kern w:val="2"/>
      <w:sz w:val="28"/>
      <w:szCs w:val="24"/>
      <w:lang w:val="en-US" w:eastAsia="zh-TW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PMingLiU" w:hAnsi="Times New Roman" w:cs="Times New Roman"/>
      <w:b/>
      <w:bCs/>
      <w:kern w:val="2"/>
      <w:sz w:val="32"/>
      <w:szCs w:val="24"/>
      <w:lang w:val="en-US" w:eastAsia="zh-TW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PMingLiU" w:hAnsi="Times New Roman" w:cs="Times New Roman"/>
      <w:b/>
      <w:bCs/>
      <w:kern w:val="2"/>
      <w:szCs w:val="24"/>
      <w:lang w:val="en-US" w:eastAsia="zh-TW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PMingLiU" w:hAnsi="Times New Roman" w:cs="Times New Roman"/>
      <w:kern w:val="2"/>
      <w:sz w:val="20"/>
      <w:szCs w:val="20"/>
      <w:lang w:val="en-US" w:eastAsia="zh-TW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PMingLiU" w:hAnsi="Times New Roman" w:cs="Times New Roman"/>
      <w:kern w:val="2"/>
      <w:sz w:val="20"/>
      <w:szCs w:val="20"/>
      <w:lang w:val="en-US" w:eastAsia="zh-TW"/>
    </w:rPr>
  </w:style>
  <w:style w:type="paragraph" w:styleId="NoSpacing">
    <w:name w:val="No Spacing"/>
    <w:uiPriority w:val="1"/>
    <w:qFormat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hk/url?sa=t&amp;rct=j&amp;q=&amp;esrc=s&amp;source=web&amp;cd=1&amp;cad=rja&amp;uact=8&amp;ved=0ahUKEwi66ffZ9oHMAhXKq5QKHY0bC98QFggaMAA&amp;url=http%3A%2F%2Fwww.pwchk.com.hk%2F&amp;usg=AFQjCNFriv2n9n6HUiginG2A1TkpjSO5CQ&amp;sig2=RdhQxnzpCdXl9ZQyUJJBTQ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2017-01-21T04:33:00Z</dcterms:created>
  <dcterms:modified xsi:type="dcterms:W3CDTF">2017-02-11T03:17:00Z</dcterms:modified>
</cp:coreProperties>
</file>