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B0" w:rsidRPr="00733097" w:rsidRDefault="001824FE" w:rsidP="00F44F22">
      <w:pPr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DAVID YIP</w:t>
      </w:r>
      <w:r w:rsidR="00C93BDF">
        <w:rPr>
          <w:b/>
          <w:sz w:val="22"/>
          <w:szCs w:val="22"/>
          <w:lang w:val="en-US"/>
        </w:rPr>
        <w:t xml:space="preserve"> SHUE LAM </w:t>
      </w:r>
    </w:p>
    <w:p w:rsidR="001824FE" w:rsidRDefault="001824FE" w:rsidP="00F44F22">
      <w:pPr>
        <w:jc w:val="both"/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14/B,</w:t>
      </w:r>
      <w:r w:rsidR="003F6ECF">
        <w:rPr>
          <w:sz w:val="22"/>
          <w:szCs w:val="22"/>
          <w:lang w:eastAsia="zh-HK"/>
        </w:rPr>
        <w:t>Silver Court</w:t>
      </w:r>
      <w:r>
        <w:rPr>
          <w:sz w:val="22"/>
          <w:szCs w:val="22"/>
          <w:lang w:eastAsia="zh-HK"/>
        </w:rPr>
        <w:t xml:space="preserve">, 100 </w:t>
      </w:r>
      <w:r w:rsidR="003F6ECF">
        <w:rPr>
          <w:sz w:val="22"/>
          <w:szCs w:val="22"/>
          <w:lang w:eastAsia="zh-HK"/>
        </w:rPr>
        <w:t>High Street</w:t>
      </w:r>
      <w:r>
        <w:rPr>
          <w:sz w:val="22"/>
          <w:szCs w:val="22"/>
          <w:lang w:eastAsia="zh-HK"/>
        </w:rPr>
        <w:t xml:space="preserve">, </w:t>
      </w:r>
      <w:r w:rsidR="003F6ECF">
        <w:rPr>
          <w:sz w:val="22"/>
          <w:szCs w:val="22"/>
          <w:lang w:eastAsia="zh-HK"/>
        </w:rPr>
        <w:t>Sai Ying Poon</w:t>
      </w:r>
      <w:r w:rsidR="007A127F" w:rsidRPr="00733097">
        <w:rPr>
          <w:sz w:val="22"/>
          <w:szCs w:val="22"/>
          <w:lang w:eastAsia="zh-HK"/>
        </w:rPr>
        <w:t xml:space="preserve"> • </w:t>
      </w:r>
    </w:p>
    <w:p w:rsidR="007A127F" w:rsidRPr="00733097" w:rsidRDefault="00ED3A95" w:rsidP="00F44F22">
      <w:pPr>
        <w:jc w:val="both"/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shuelamyip</w:t>
      </w:r>
      <w:r w:rsidR="0032705A">
        <w:rPr>
          <w:sz w:val="22"/>
          <w:szCs w:val="22"/>
          <w:lang w:eastAsia="zh-HK"/>
        </w:rPr>
        <w:t>617</w:t>
      </w:r>
      <w:r w:rsidR="007A127F" w:rsidRPr="00733097">
        <w:rPr>
          <w:sz w:val="22"/>
          <w:szCs w:val="22"/>
          <w:lang w:eastAsia="zh-HK"/>
        </w:rPr>
        <w:t>@</w:t>
      </w:r>
      <w:r w:rsidR="0032705A">
        <w:rPr>
          <w:sz w:val="22"/>
          <w:szCs w:val="22"/>
          <w:lang w:eastAsia="zh-HK"/>
        </w:rPr>
        <w:t>gmail.com</w:t>
      </w:r>
      <w:r w:rsidR="007A127F" w:rsidRPr="00733097">
        <w:rPr>
          <w:sz w:val="22"/>
          <w:szCs w:val="22"/>
          <w:lang w:eastAsia="zh-HK"/>
        </w:rPr>
        <w:t xml:space="preserve"> • </w:t>
      </w:r>
      <w:r w:rsidR="001824FE">
        <w:rPr>
          <w:sz w:val="22"/>
          <w:szCs w:val="22"/>
          <w:lang w:eastAsia="zh-HK"/>
        </w:rPr>
        <w:t>6683 2842</w:t>
      </w:r>
    </w:p>
    <w:p w:rsidR="004166CC" w:rsidRDefault="004166CC" w:rsidP="00F44F22">
      <w:pPr>
        <w:pBdr>
          <w:bottom w:val="single" w:sz="12" w:space="1" w:color="auto"/>
        </w:pBdr>
        <w:jc w:val="both"/>
        <w:rPr>
          <w:b/>
          <w:sz w:val="22"/>
          <w:szCs w:val="22"/>
          <w:lang w:eastAsia="zh-HK"/>
        </w:rPr>
      </w:pPr>
    </w:p>
    <w:p w:rsidR="007A127F" w:rsidRPr="00733097" w:rsidRDefault="000A23F8" w:rsidP="00F44F22">
      <w:pPr>
        <w:pBdr>
          <w:bottom w:val="single" w:sz="12" w:space="1" w:color="auto"/>
        </w:pBdr>
        <w:jc w:val="both"/>
        <w:rPr>
          <w:b/>
          <w:sz w:val="22"/>
          <w:szCs w:val="22"/>
          <w:lang w:eastAsia="zh-HK"/>
        </w:rPr>
      </w:pPr>
      <w:r w:rsidRPr="00733097">
        <w:rPr>
          <w:b/>
          <w:sz w:val="22"/>
          <w:szCs w:val="22"/>
          <w:lang w:eastAsia="zh-HK"/>
        </w:rPr>
        <w:t xml:space="preserve">WORK </w:t>
      </w:r>
      <w:r w:rsidR="007A127F" w:rsidRPr="00733097">
        <w:rPr>
          <w:b/>
          <w:sz w:val="22"/>
          <w:szCs w:val="22"/>
          <w:lang w:eastAsia="zh-HK"/>
        </w:rPr>
        <w:t>EXPERIENCE</w:t>
      </w:r>
    </w:p>
    <w:p w:rsidR="007A127F" w:rsidRPr="00733097" w:rsidRDefault="001824FE" w:rsidP="00F44F22">
      <w:pPr>
        <w:jc w:val="both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PwC</w:t>
      </w:r>
      <w:r w:rsidR="007A127F" w:rsidRPr="00733097">
        <w:rPr>
          <w:sz w:val="22"/>
          <w:szCs w:val="22"/>
          <w:lang w:val="en-US"/>
        </w:rPr>
        <w:t xml:space="preserve"> </w:t>
      </w:r>
      <w:r w:rsidR="00D65134">
        <w:rPr>
          <w:b/>
          <w:sz w:val="22"/>
          <w:szCs w:val="22"/>
          <w:lang w:val="en-US"/>
        </w:rPr>
        <w:t>HK</w:t>
      </w:r>
      <w:r w:rsidR="00976E19">
        <w:rPr>
          <w:b/>
          <w:sz w:val="22"/>
          <w:szCs w:val="22"/>
          <w:lang w:val="en-US"/>
        </w:rPr>
        <w:t xml:space="preserve"> – Financial Service Group Assur</w:t>
      </w:r>
      <w:r w:rsidR="00D65134">
        <w:rPr>
          <w:b/>
          <w:sz w:val="22"/>
          <w:szCs w:val="22"/>
          <w:lang w:val="en-US"/>
        </w:rPr>
        <w:t>an</w:t>
      </w:r>
      <w:r w:rsidR="00976E19">
        <w:rPr>
          <w:b/>
          <w:sz w:val="22"/>
          <w:szCs w:val="22"/>
          <w:lang w:val="en-US"/>
        </w:rPr>
        <w:t>ce</w:t>
      </w:r>
      <w:r w:rsidR="00D65134">
        <w:rPr>
          <w:b/>
          <w:sz w:val="22"/>
          <w:szCs w:val="22"/>
          <w:lang w:val="en-US"/>
        </w:rPr>
        <w:t xml:space="preserve">             </w:t>
      </w:r>
      <w:r>
        <w:rPr>
          <w:b/>
          <w:sz w:val="22"/>
          <w:szCs w:val="22"/>
          <w:lang w:val="en-US"/>
        </w:rPr>
        <w:t xml:space="preserve">                            </w:t>
      </w:r>
      <w:r w:rsidR="00435E3B" w:rsidRPr="00733097">
        <w:rPr>
          <w:b/>
          <w:sz w:val="22"/>
          <w:szCs w:val="22"/>
          <w:lang w:val="en-US"/>
        </w:rPr>
        <w:t xml:space="preserve"> </w:t>
      </w:r>
      <w:r w:rsidR="007A127F" w:rsidRPr="00733097">
        <w:rPr>
          <w:b/>
          <w:sz w:val="22"/>
          <w:szCs w:val="22"/>
          <w:lang w:val="en-US"/>
        </w:rPr>
        <w:t>201</w:t>
      </w:r>
      <w:r w:rsidR="00AD61A4">
        <w:rPr>
          <w:b/>
          <w:sz w:val="22"/>
          <w:szCs w:val="22"/>
          <w:lang w:val="en-US"/>
        </w:rPr>
        <w:t>4</w:t>
      </w:r>
      <w:r w:rsidR="00435E3B" w:rsidRPr="00733097">
        <w:rPr>
          <w:b/>
          <w:sz w:val="22"/>
          <w:szCs w:val="22"/>
          <w:lang w:val="en-US"/>
        </w:rPr>
        <w:t xml:space="preserve"> </w:t>
      </w:r>
      <w:r w:rsidR="007A127F" w:rsidRPr="00733097">
        <w:rPr>
          <w:b/>
          <w:sz w:val="22"/>
          <w:szCs w:val="22"/>
          <w:lang w:val="en-US"/>
        </w:rPr>
        <w:t>–</w:t>
      </w:r>
      <w:r w:rsidR="00CE6942" w:rsidRPr="00733097">
        <w:rPr>
          <w:b/>
          <w:sz w:val="22"/>
          <w:szCs w:val="22"/>
          <w:lang w:val="en-US"/>
        </w:rPr>
        <w:t xml:space="preserve"> </w:t>
      </w:r>
      <w:r w:rsidR="007A127F" w:rsidRPr="00733097">
        <w:rPr>
          <w:b/>
          <w:sz w:val="22"/>
          <w:szCs w:val="22"/>
          <w:lang w:val="en-US"/>
        </w:rPr>
        <w:t>present</w:t>
      </w:r>
      <w:r w:rsidR="007A127F" w:rsidRPr="00733097">
        <w:rPr>
          <w:sz w:val="22"/>
          <w:szCs w:val="22"/>
          <w:lang w:val="en-US"/>
        </w:rPr>
        <w:t xml:space="preserve"> </w:t>
      </w:r>
    </w:p>
    <w:p w:rsidR="000378B2" w:rsidRPr="00733097" w:rsidRDefault="00B624C3" w:rsidP="00F44F22">
      <w:pPr>
        <w:jc w:val="both"/>
        <w:rPr>
          <w:sz w:val="22"/>
          <w:szCs w:val="22"/>
          <w:lang w:val="en-US"/>
        </w:rPr>
      </w:pPr>
      <w:r w:rsidRPr="00733097">
        <w:rPr>
          <w:sz w:val="22"/>
          <w:szCs w:val="22"/>
          <w:lang w:val="en-US"/>
        </w:rPr>
        <w:t>Audit Senior</w:t>
      </w:r>
      <w:r w:rsidR="007A127F" w:rsidRPr="00733097">
        <w:rPr>
          <w:sz w:val="22"/>
          <w:szCs w:val="22"/>
          <w:lang w:val="en-US"/>
        </w:rPr>
        <w:t xml:space="preserve"> (2015</w:t>
      </w:r>
      <w:r w:rsidR="000A23F8" w:rsidRPr="00733097">
        <w:rPr>
          <w:sz w:val="22"/>
          <w:szCs w:val="22"/>
          <w:lang w:val="en-US"/>
        </w:rPr>
        <w:t xml:space="preserve"> – </w:t>
      </w:r>
      <w:r w:rsidR="007A127F" w:rsidRPr="00733097">
        <w:rPr>
          <w:sz w:val="22"/>
          <w:szCs w:val="22"/>
          <w:lang w:val="en-US"/>
        </w:rPr>
        <w:t xml:space="preserve">present), </w:t>
      </w:r>
      <w:r w:rsidRPr="00733097">
        <w:rPr>
          <w:sz w:val="22"/>
          <w:szCs w:val="22"/>
          <w:lang w:val="en-US"/>
        </w:rPr>
        <w:t xml:space="preserve">Audit </w:t>
      </w:r>
      <w:r w:rsidR="007A127F" w:rsidRPr="00733097">
        <w:rPr>
          <w:sz w:val="22"/>
          <w:szCs w:val="22"/>
          <w:lang w:val="en-US"/>
        </w:rPr>
        <w:t>Associate (201</w:t>
      </w:r>
      <w:r w:rsidR="00FF08F3">
        <w:rPr>
          <w:sz w:val="22"/>
          <w:szCs w:val="22"/>
          <w:lang w:val="en-US"/>
        </w:rPr>
        <w:t>4</w:t>
      </w:r>
      <w:r w:rsidR="000A23F8" w:rsidRPr="00733097">
        <w:rPr>
          <w:sz w:val="22"/>
          <w:szCs w:val="22"/>
          <w:lang w:val="en-US"/>
        </w:rPr>
        <w:t xml:space="preserve"> – </w:t>
      </w:r>
      <w:r w:rsidR="007A127F" w:rsidRPr="00733097">
        <w:rPr>
          <w:sz w:val="22"/>
          <w:szCs w:val="22"/>
          <w:lang w:val="en-US"/>
        </w:rPr>
        <w:t>2015)</w:t>
      </w:r>
      <w:r w:rsidR="007A127F" w:rsidRPr="00733097">
        <w:rPr>
          <w:sz w:val="22"/>
          <w:szCs w:val="22"/>
          <w:lang w:val="en-US"/>
        </w:rPr>
        <w:tab/>
      </w:r>
    </w:p>
    <w:p w:rsidR="008D7C97" w:rsidRPr="00733097" w:rsidRDefault="008D7C97" w:rsidP="00F44F22">
      <w:pPr>
        <w:jc w:val="both"/>
        <w:rPr>
          <w:sz w:val="22"/>
          <w:szCs w:val="22"/>
          <w:lang w:val="en-US"/>
        </w:rPr>
      </w:pPr>
      <w:r w:rsidRPr="00733097">
        <w:rPr>
          <w:sz w:val="22"/>
          <w:szCs w:val="22"/>
          <w:lang w:val="en-US"/>
        </w:rPr>
        <w:t xml:space="preserve">Performed statutory audits </w:t>
      </w:r>
      <w:r w:rsidR="00A768C4">
        <w:rPr>
          <w:sz w:val="22"/>
          <w:szCs w:val="22"/>
          <w:lang w:val="en-US"/>
        </w:rPr>
        <w:t xml:space="preserve">and </w:t>
      </w:r>
      <w:r w:rsidR="00CD6566">
        <w:rPr>
          <w:sz w:val="22"/>
          <w:szCs w:val="22"/>
          <w:lang w:val="en-US"/>
        </w:rPr>
        <w:t>internal c</w:t>
      </w:r>
      <w:r w:rsidR="00A768C4">
        <w:rPr>
          <w:sz w:val="22"/>
          <w:szCs w:val="22"/>
          <w:lang w:val="en-US"/>
        </w:rPr>
        <w:t xml:space="preserve">ontrol </w:t>
      </w:r>
      <w:r w:rsidR="00CD6566">
        <w:rPr>
          <w:sz w:val="22"/>
          <w:szCs w:val="22"/>
          <w:lang w:val="en-US"/>
        </w:rPr>
        <w:t xml:space="preserve">review </w:t>
      </w:r>
      <w:r w:rsidRPr="00733097">
        <w:rPr>
          <w:sz w:val="22"/>
          <w:szCs w:val="22"/>
          <w:lang w:val="en-US"/>
        </w:rPr>
        <w:t>for companies of different size</w:t>
      </w:r>
      <w:r w:rsidR="009D5595">
        <w:rPr>
          <w:sz w:val="22"/>
          <w:szCs w:val="22"/>
          <w:lang w:val="en-US"/>
        </w:rPr>
        <w:t>s</w:t>
      </w:r>
      <w:r w:rsidR="0001274A">
        <w:rPr>
          <w:sz w:val="22"/>
          <w:szCs w:val="22"/>
          <w:lang w:val="en-US"/>
        </w:rPr>
        <w:t xml:space="preserve"> focusing</w:t>
      </w:r>
      <w:r w:rsidR="00CC68B0">
        <w:rPr>
          <w:sz w:val="22"/>
          <w:szCs w:val="22"/>
          <w:lang w:val="en-US"/>
        </w:rPr>
        <w:t xml:space="preserve"> </w:t>
      </w:r>
      <w:r w:rsidR="00A768C4">
        <w:rPr>
          <w:sz w:val="22"/>
          <w:szCs w:val="22"/>
          <w:lang w:val="en-US"/>
        </w:rPr>
        <w:t>on asset management industry</w:t>
      </w:r>
      <w:r w:rsidR="00D51D6E">
        <w:rPr>
          <w:sz w:val="22"/>
          <w:szCs w:val="22"/>
          <w:lang w:val="en-US"/>
        </w:rPr>
        <w:t xml:space="preserve">, including but not limited to </w:t>
      </w:r>
      <w:r w:rsidR="00D65134">
        <w:rPr>
          <w:sz w:val="22"/>
          <w:szCs w:val="22"/>
          <w:lang w:val="en-US"/>
        </w:rPr>
        <w:t xml:space="preserve">PAG, BFAM Partners, </w:t>
      </w:r>
      <w:r w:rsidR="00D70B89">
        <w:rPr>
          <w:sz w:val="22"/>
          <w:szCs w:val="22"/>
          <w:lang w:val="en-US"/>
        </w:rPr>
        <w:t xml:space="preserve">HKEx, </w:t>
      </w:r>
      <w:r w:rsidR="00AB2589">
        <w:rPr>
          <w:sz w:val="22"/>
          <w:szCs w:val="22"/>
          <w:lang w:val="en-US"/>
        </w:rPr>
        <w:t>HSBC Security Services</w:t>
      </w:r>
      <w:r w:rsidR="00B33C72">
        <w:rPr>
          <w:sz w:val="22"/>
          <w:szCs w:val="22"/>
          <w:lang w:val="en-US"/>
        </w:rPr>
        <w:t xml:space="preserve"> </w:t>
      </w:r>
      <w:r w:rsidR="00D65134">
        <w:rPr>
          <w:sz w:val="22"/>
          <w:szCs w:val="22"/>
          <w:lang w:val="en-US"/>
        </w:rPr>
        <w:t xml:space="preserve">etc. </w:t>
      </w:r>
    </w:p>
    <w:p w:rsidR="008D7C97" w:rsidRPr="00733097" w:rsidRDefault="00647034" w:rsidP="00F44F22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647034">
        <w:rPr>
          <w:i/>
          <w:sz w:val="22"/>
          <w:szCs w:val="22"/>
          <w:lang w:val="en-US"/>
        </w:rPr>
        <w:t>Audit</w:t>
      </w:r>
      <w:r w:rsidR="008D7C97" w:rsidRPr="00733097">
        <w:rPr>
          <w:sz w:val="22"/>
          <w:szCs w:val="22"/>
          <w:lang w:val="en-US"/>
        </w:rPr>
        <w:t xml:space="preserve"> – </w:t>
      </w:r>
      <w:r w:rsidR="00273D21">
        <w:rPr>
          <w:sz w:val="22"/>
          <w:szCs w:val="22"/>
          <w:lang w:val="en-US"/>
        </w:rPr>
        <w:t>Clients mainly</w:t>
      </w:r>
      <w:r w:rsidR="00E44BAE">
        <w:rPr>
          <w:sz w:val="22"/>
          <w:szCs w:val="22"/>
          <w:lang w:val="en-US"/>
        </w:rPr>
        <w:t xml:space="preserve"> </w:t>
      </w:r>
      <w:r w:rsidR="00243C52">
        <w:rPr>
          <w:sz w:val="22"/>
          <w:szCs w:val="22"/>
          <w:lang w:val="en-US"/>
        </w:rPr>
        <w:t>being</w:t>
      </w:r>
      <w:r w:rsidR="005B2A75">
        <w:rPr>
          <w:sz w:val="22"/>
          <w:szCs w:val="22"/>
          <w:lang w:val="en-US"/>
        </w:rPr>
        <w:t xml:space="preserve"> hedge funds and thei</w:t>
      </w:r>
      <w:r w:rsidR="00E44BAE">
        <w:rPr>
          <w:sz w:val="22"/>
          <w:szCs w:val="22"/>
          <w:lang w:val="en-US"/>
        </w:rPr>
        <w:t>r</w:t>
      </w:r>
      <w:r w:rsidR="00CC68B0">
        <w:rPr>
          <w:sz w:val="22"/>
          <w:szCs w:val="22"/>
          <w:lang w:val="en-US"/>
        </w:rPr>
        <w:t xml:space="preserve"> </w:t>
      </w:r>
      <w:r w:rsidR="00D70B89">
        <w:rPr>
          <w:sz w:val="22"/>
          <w:szCs w:val="22"/>
          <w:lang w:val="en-US"/>
        </w:rPr>
        <w:t>asset managers</w:t>
      </w:r>
      <w:r w:rsidR="00243C52">
        <w:rPr>
          <w:sz w:val="22"/>
          <w:szCs w:val="22"/>
          <w:lang w:val="en-US"/>
        </w:rPr>
        <w:t>, also with exposure to private equity and real estate funds</w:t>
      </w:r>
      <w:r w:rsidR="00CC68B0">
        <w:rPr>
          <w:sz w:val="22"/>
          <w:szCs w:val="22"/>
          <w:lang w:val="en-US"/>
        </w:rPr>
        <w:t xml:space="preserve">. </w:t>
      </w:r>
      <w:r w:rsidR="00782CF5">
        <w:rPr>
          <w:sz w:val="22"/>
          <w:szCs w:val="22"/>
          <w:lang w:val="en-US"/>
        </w:rPr>
        <w:t>Sound</w:t>
      </w:r>
      <w:r w:rsidR="001338E1">
        <w:rPr>
          <w:sz w:val="22"/>
          <w:szCs w:val="22"/>
          <w:lang w:val="en-US"/>
        </w:rPr>
        <w:t xml:space="preserve"> knowl</w:t>
      </w:r>
      <w:r w:rsidR="00E36595">
        <w:rPr>
          <w:sz w:val="22"/>
          <w:szCs w:val="22"/>
          <w:lang w:val="en-US"/>
        </w:rPr>
        <w:t>edge in asset management industry</w:t>
      </w:r>
      <w:r w:rsidR="00273D21">
        <w:rPr>
          <w:sz w:val="22"/>
          <w:szCs w:val="22"/>
          <w:lang w:val="en-US"/>
        </w:rPr>
        <w:t xml:space="preserve">, </w:t>
      </w:r>
      <w:r w:rsidR="00782CF5">
        <w:rPr>
          <w:sz w:val="22"/>
          <w:szCs w:val="22"/>
          <w:lang w:val="en-US"/>
        </w:rPr>
        <w:t>which includes</w:t>
      </w:r>
      <w:r w:rsidR="00243C52">
        <w:rPr>
          <w:sz w:val="22"/>
          <w:szCs w:val="22"/>
          <w:lang w:val="en-US"/>
        </w:rPr>
        <w:t xml:space="preserve"> investment </w:t>
      </w:r>
      <w:r w:rsidR="00AA3562">
        <w:rPr>
          <w:sz w:val="22"/>
          <w:szCs w:val="22"/>
          <w:lang w:val="en-US"/>
        </w:rPr>
        <w:t>products</w:t>
      </w:r>
      <w:r w:rsidR="00D70B89">
        <w:rPr>
          <w:sz w:val="22"/>
          <w:szCs w:val="22"/>
          <w:lang w:val="en-US"/>
        </w:rPr>
        <w:t>,</w:t>
      </w:r>
      <w:r w:rsidR="00FB7512">
        <w:rPr>
          <w:sz w:val="22"/>
          <w:szCs w:val="22"/>
          <w:lang w:val="en-US"/>
        </w:rPr>
        <w:t xml:space="preserve"> entity structure, </w:t>
      </w:r>
      <w:r w:rsidR="009D3EB4">
        <w:rPr>
          <w:sz w:val="22"/>
          <w:szCs w:val="22"/>
          <w:lang w:val="en-US"/>
        </w:rPr>
        <w:t>structure of bonus</w:t>
      </w:r>
      <w:r w:rsidR="00A2095B">
        <w:rPr>
          <w:sz w:val="22"/>
          <w:szCs w:val="22"/>
          <w:lang w:val="en-US"/>
        </w:rPr>
        <w:t xml:space="preserve">, </w:t>
      </w:r>
      <w:r w:rsidR="00E36595">
        <w:rPr>
          <w:sz w:val="22"/>
          <w:szCs w:val="22"/>
          <w:lang w:val="en-US"/>
        </w:rPr>
        <w:t xml:space="preserve">relevant IFRS </w:t>
      </w:r>
      <w:r w:rsidR="00782CF5">
        <w:rPr>
          <w:sz w:val="22"/>
          <w:szCs w:val="22"/>
          <w:lang w:val="en-US"/>
        </w:rPr>
        <w:t xml:space="preserve">accounting standards </w:t>
      </w:r>
      <w:r w:rsidR="00E36595">
        <w:rPr>
          <w:sz w:val="22"/>
          <w:szCs w:val="22"/>
          <w:lang w:val="en-US"/>
        </w:rPr>
        <w:t>and</w:t>
      </w:r>
      <w:r w:rsidR="00A20D22">
        <w:rPr>
          <w:sz w:val="22"/>
          <w:szCs w:val="22"/>
          <w:lang w:val="en-US"/>
        </w:rPr>
        <w:t xml:space="preserve"> </w:t>
      </w:r>
      <w:r w:rsidR="00A2095B">
        <w:rPr>
          <w:sz w:val="22"/>
          <w:szCs w:val="22"/>
          <w:lang w:val="en-US"/>
        </w:rPr>
        <w:t xml:space="preserve">SFC </w:t>
      </w:r>
      <w:r w:rsidR="00A20D22">
        <w:rPr>
          <w:sz w:val="22"/>
          <w:szCs w:val="22"/>
          <w:lang w:val="en-US"/>
        </w:rPr>
        <w:t xml:space="preserve">compliance. </w:t>
      </w:r>
    </w:p>
    <w:p w:rsidR="003C27E0" w:rsidRPr="00DB5FD3" w:rsidRDefault="00BE777D" w:rsidP="00DB5FD3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647034">
        <w:rPr>
          <w:i/>
          <w:sz w:val="22"/>
          <w:szCs w:val="22"/>
          <w:lang w:val="en-US"/>
        </w:rPr>
        <w:t>Internal c</w:t>
      </w:r>
      <w:r w:rsidR="00A20D22" w:rsidRPr="00647034">
        <w:rPr>
          <w:i/>
          <w:sz w:val="22"/>
          <w:szCs w:val="22"/>
          <w:lang w:val="en-US"/>
        </w:rPr>
        <w:t xml:space="preserve">ontrol </w:t>
      </w:r>
      <w:r w:rsidRPr="00647034">
        <w:rPr>
          <w:i/>
          <w:sz w:val="22"/>
          <w:szCs w:val="22"/>
          <w:lang w:val="en-US"/>
        </w:rPr>
        <w:t>r</w:t>
      </w:r>
      <w:r w:rsidR="00CD6566" w:rsidRPr="00647034">
        <w:rPr>
          <w:i/>
          <w:sz w:val="22"/>
          <w:szCs w:val="22"/>
          <w:lang w:val="en-US"/>
        </w:rPr>
        <w:t>eview</w:t>
      </w:r>
      <w:r w:rsidR="00CD6566">
        <w:rPr>
          <w:sz w:val="22"/>
          <w:szCs w:val="22"/>
          <w:lang w:val="en-US"/>
        </w:rPr>
        <w:t xml:space="preserve"> </w:t>
      </w:r>
      <w:r w:rsidR="00E36595">
        <w:rPr>
          <w:sz w:val="22"/>
          <w:szCs w:val="22"/>
          <w:lang w:val="en-US"/>
        </w:rPr>
        <w:t>–</w:t>
      </w:r>
      <w:r w:rsidR="009A3B94">
        <w:rPr>
          <w:sz w:val="22"/>
          <w:szCs w:val="22"/>
          <w:lang w:val="en-US"/>
        </w:rPr>
        <w:t xml:space="preserve"> </w:t>
      </w:r>
      <w:r w:rsidR="00F44F22">
        <w:rPr>
          <w:sz w:val="22"/>
          <w:szCs w:val="22"/>
          <w:lang w:val="en-US"/>
        </w:rPr>
        <w:t xml:space="preserve">Through </w:t>
      </w:r>
      <w:r w:rsidR="00E36595">
        <w:rPr>
          <w:sz w:val="22"/>
          <w:szCs w:val="22"/>
          <w:lang w:val="en-US"/>
        </w:rPr>
        <w:t>lead</w:t>
      </w:r>
      <w:r w:rsidR="00F44F22">
        <w:rPr>
          <w:sz w:val="22"/>
          <w:szCs w:val="22"/>
          <w:lang w:val="en-US"/>
        </w:rPr>
        <w:t>ing</w:t>
      </w:r>
      <w:r w:rsidR="00E36595">
        <w:rPr>
          <w:sz w:val="22"/>
          <w:szCs w:val="22"/>
          <w:lang w:val="en-US"/>
        </w:rPr>
        <w:t xml:space="preserve"> </w:t>
      </w:r>
      <w:r w:rsidR="00E27F40">
        <w:rPr>
          <w:sz w:val="22"/>
          <w:szCs w:val="22"/>
          <w:lang w:val="en-US"/>
        </w:rPr>
        <w:t>ISAE 3402</w:t>
      </w:r>
      <w:r w:rsidR="00563DB4">
        <w:rPr>
          <w:sz w:val="22"/>
          <w:szCs w:val="22"/>
          <w:lang w:val="en-US"/>
        </w:rPr>
        <w:t xml:space="preserve"> </w:t>
      </w:r>
      <w:r w:rsidR="00E27F40">
        <w:rPr>
          <w:sz w:val="22"/>
          <w:szCs w:val="22"/>
          <w:lang w:val="en-US"/>
        </w:rPr>
        <w:t>engagement</w:t>
      </w:r>
      <w:r w:rsidR="00A0727B">
        <w:rPr>
          <w:sz w:val="22"/>
          <w:szCs w:val="22"/>
          <w:lang w:val="en-US"/>
        </w:rPr>
        <w:t xml:space="preserve"> for </w:t>
      </w:r>
      <w:r w:rsidR="0092086B">
        <w:rPr>
          <w:sz w:val="22"/>
          <w:szCs w:val="22"/>
          <w:lang w:val="en-US"/>
        </w:rPr>
        <w:t xml:space="preserve">fund administration service for HSBC </w:t>
      </w:r>
      <w:r w:rsidR="00F44F22">
        <w:rPr>
          <w:sz w:val="22"/>
          <w:szCs w:val="22"/>
          <w:lang w:val="en-US"/>
        </w:rPr>
        <w:t xml:space="preserve">Security Services </w:t>
      </w:r>
      <w:r w:rsidR="00A8355F">
        <w:rPr>
          <w:sz w:val="22"/>
          <w:szCs w:val="22"/>
          <w:lang w:val="en-US"/>
        </w:rPr>
        <w:t>(HSS)</w:t>
      </w:r>
      <w:r w:rsidR="0092086B">
        <w:rPr>
          <w:sz w:val="22"/>
          <w:szCs w:val="22"/>
          <w:lang w:val="en-US"/>
        </w:rPr>
        <w:t xml:space="preserve">, </w:t>
      </w:r>
      <w:r w:rsidR="00F44F22">
        <w:rPr>
          <w:sz w:val="22"/>
          <w:szCs w:val="22"/>
          <w:lang w:val="en-US"/>
        </w:rPr>
        <w:t xml:space="preserve">he has gained knowledge in </w:t>
      </w:r>
      <w:r w:rsidR="00A41CEE">
        <w:rPr>
          <w:sz w:val="22"/>
          <w:szCs w:val="22"/>
          <w:lang w:val="en-US"/>
        </w:rPr>
        <w:t>controls and</w:t>
      </w:r>
      <w:r w:rsidR="00F44F22">
        <w:rPr>
          <w:sz w:val="22"/>
          <w:szCs w:val="22"/>
          <w:lang w:val="en-US"/>
        </w:rPr>
        <w:t xml:space="preserve"> operations of fund administration. </w:t>
      </w:r>
      <w:r w:rsidR="00DB5FD3" w:rsidRPr="00DB5FD3">
        <w:rPr>
          <w:sz w:val="22"/>
          <w:szCs w:val="22"/>
          <w:lang w:val="en-US"/>
        </w:rPr>
        <w:t xml:space="preserve"> </w:t>
      </w:r>
    </w:p>
    <w:p w:rsidR="003C27E0" w:rsidRDefault="00F44F22" w:rsidP="00F44F22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647034">
        <w:rPr>
          <w:i/>
          <w:sz w:val="22"/>
          <w:szCs w:val="22"/>
          <w:lang w:val="en-US"/>
        </w:rPr>
        <w:t>International exposure</w:t>
      </w:r>
      <w:r>
        <w:rPr>
          <w:sz w:val="22"/>
          <w:szCs w:val="22"/>
          <w:lang w:val="en-US"/>
        </w:rPr>
        <w:t xml:space="preserve"> –</w:t>
      </w:r>
      <w:r w:rsidR="00642197">
        <w:rPr>
          <w:sz w:val="22"/>
          <w:szCs w:val="22"/>
          <w:lang w:val="en-US"/>
        </w:rPr>
        <w:t xml:space="preserve"> w</w:t>
      </w:r>
      <w:r>
        <w:rPr>
          <w:sz w:val="22"/>
          <w:szCs w:val="22"/>
          <w:lang w:val="en-US"/>
        </w:rPr>
        <w:t xml:space="preserve">orked closely with PwC UK in finalizing the </w:t>
      </w:r>
      <w:r w:rsidR="00642197">
        <w:rPr>
          <w:sz w:val="22"/>
          <w:szCs w:val="22"/>
          <w:lang w:val="en-US"/>
        </w:rPr>
        <w:t xml:space="preserve">fund service </w:t>
      </w:r>
      <w:r>
        <w:rPr>
          <w:sz w:val="22"/>
          <w:szCs w:val="22"/>
          <w:lang w:val="en-US"/>
        </w:rPr>
        <w:t>ISAE 3402 report</w:t>
      </w:r>
      <w:r w:rsidR="009D3EB4">
        <w:rPr>
          <w:sz w:val="22"/>
          <w:szCs w:val="22"/>
          <w:lang w:val="en-US"/>
        </w:rPr>
        <w:t xml:space="preserve">, </w:t>
      </w:r>
      <w:r w:rsidR="00067040">
        <w:rPr>
          <w:sz w:val="22"/>
          <w:szCs w:val="22"/>
          <w:lang w:val="en-US"/>
        </w:rPr>
        <w:t xml:space="preserve">designed testing procedures and liaised with </w:t>
      </w:r>
      <w:r w:rsidR="009D3EB4">
        <w:rPr>
          <w:sz w:val="22"/>
          <w:szCs w:val="22"/>
          <w:lang w:val="en-US"/>
        </w:rPr>
        <w:t>over 30 PwC locations to complete another ISAE 3402 report</w:t>
      </w:r>
      <w:r w:rsidR="0032022B">
        <w:rPr>
          <w:sz w:val="22"/>
          <w:szCs w:val="22"/>
          <w:lang w:val="en-US"/>
        </w:rPr>
        <w:t>. T</w:t>
      </w:r>
      <w:r w:rsidR="00CF39B9">
        <w:rPr>
          <w:sz w:val="22"/>
          <w:szCs w:val="22"/>
          <w:lang w:val="en-US"/>
        </w:rPr>
        <w:t>ravelled to Saudi Arabia and</w:t>
      </w:r>
      <w:r w:rsidR="00A8355F">
        <w:rPr>
          <w:sz w:val="22"/>
          <w:szCs w:val="22"/>
          <w:lang w:val="en-US"/>
        </w:rPr>
        <w:t xml:space="preserve"> lead the field work for HS</w:t>
      </w:r>
      <w:r w:rsidR="00A0727B">
        <w:rPr>
          <w:sz w:val="22"/>
          <w:szCs w:val="22"/>
          <w:lang w:val="en-US"/>
        </w:rPr>
        <w:t xml:space="preserve">S. </w:t>
      </w:r>
    </w:p>
    <w:p w:rsidR="00067040" w:rsidRPr="00733097" w:rsidRDefault="00AA3562" w:rsidP="00F44F22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Private Banking exposure </w:t>
      </w:r>
      <w:r>
        <w:rPr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gained knowledge on controls in private banking, including supervision of RM activities, </w:t>
      </w:r>
      <w:r w:rsidR="003F6ECF">
        <w:rPr>
          <w:sz w:val="22"/>
          <w:szCs w:val="22"/>
          <w:lang w:val="en-US"/>
        </w:rPr>
        <w:t>AML/KYC control, c</w:t>
      </w:r>
      <w:r>
        <w:rPr>
          <w:sz w:val="22"/>
          <w:szCs w:val="22"/>
          <w:lang w:val="en-US"/>
        </w:rPr>
        <w:t xml:space="preserve">redit approval and review and cross boarder activity monitoring, through </w:t>
      </w:r>
      <w:bookmarkStart w:id="0" w:name="_GoBack"/>
      <w:bookmarkEnd w:id="0"/>
      <w:r w:rsidR="00BF06EE">
        <w:rPr>
          <w:sz w:val="22"/>
          <w:szCs w:val="22"/>
          <w:lang w:val="en-US"/>
        </w:rPr>
        <w:t xml:space="preserve">regulatory audit </w:t>
      </w:r>
      <w:r w:rsidR="003F6ECF">
        <w:rPr>
          <w:sz w:val="22"/>
          <w:szCs w:val="22"/>
          <w:lang w:val="en-US"/>
        </w:rPr>
        <w:t xml:space="preserve">of private banking unit. </w:t>
      </w:r>
    </w:p>
    <w:p w:rsidR="003C27E0" w:rsidRPr="00733097" w:rsidRDefault="001824FE" w:rsidP="00F44F22">
      <w:pPr>
        <w:ind w:right="-46"/>
        <w:jc w:val="both"/>
        <w:rPr>
          <w:sz w:val="22"/>
          <w:szCs w:val="22"/>
          <w:lang w:val="en-US"/>
        </w:rPr>
      </w:pPr>
      <w:r w:rsidRPr="00733097">
        <w:rPr>
          <w:b/>
          <w:sz w:val="22"/>
          <w:szCs w:val="22"/>
          <w:lang w:val="en-US"/>
        </w:rPr>
        <w:t>Deloitte Touche Tohmatsu,</w:t>
      </w:r>
      <w:r w:rsidRPr="00733097">
        <w:rPr>
          <w:sz w:val="22"/>
          <w:szCs w:val="22"/>
          <w:lang w:val="en-US"/>
        </w:rPr>
        <w:t xml:space="preserve"> </w:t>
      </w:r>
      <w:r w:rsidRPr="00733097">
        <w:rPr>
          <w:b/>
          <w:sz w:val="22"/>
          <w:szCs w:val="22"/>
          <w:lang w:val="en-US"/>
        </w:rPr>
        <w:t>Hong Kong</w:t>
      </w:r>
      <w:r>
        <w:rPr>
          <w:b/>
          <w:sz w:val="22"/>
          <w:szCs w:val="22"/>
          <w:lang w:val="en-US"/>
        </w:rPr>
        <w:t xml:space="preserve">    </w:t>
      </w:r>
      <w:r w:rsidRPr="00733097"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 w:rsidR="00435E3B" w:rsidRPr="00733097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 xml:space="preserve">       2013 – 2014 </w:t>
      </w:r>
      <w:r w:rsidR="00FF08F3">
        <w:rPr>
          <w:sz w:val="22"/>
          <w:szCs w:val="22"/>
          <w:lang w:val="en-US"/>
        </w:rPr>
        <w:t>Audit Associate</w:t>
      </w:r>
      <w:r w:rsidR="00435E3B" w:rsidRPr="00733097">
        <w:rPr>
          <w:sz w:val="22"/>
          <w:szCs w:val="22"/>
          <w:lang w:val="en-US"/>
        </w:rPr>
        <w:t xml:space="preserve"> </w:t>
      </w:r>
    </w:p>
    <w:p w:rsidR="008D7C97" w:rsidRPr="00733097" w:rsidRDefault="009D5595" w:rsidP="00F44F2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Participated in IPO major time of the year and performed statutory audits of </w:t>
      </w:r>
      <w:r w:rsidR="00174F64">
        <w:rPr>
          <w:sz w:val="22"/>
          <w:szCs w:val="22"/>
          <w:lang w:val="en-US"/>
        </w:rPr>
        <w:t xml:space="preserve">business in </w:t>
      </w:r>
      <w:r>
        <w:rPr>
          <w:sz w:val="22"/>
          <w:szCs w:val="22"/>
          <w:lang w:val="en-US"/>
        </w:rPr>
        <w:t xml:space="preserve">Technology, Multimedia and Telecommunications industry. </w:t>
      </w:r>
    </w:p>
    <w:p w:rsidR="000A23F8" w:rsidRPr="00067040" w:rsidRDefault="00435E3B" w:rsidP="00F44F22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067040">
        <w:rPr>
          <w:i/>
          <w:sz w:val="22"/>
          <w:szCs w:val="22"/>
          <w:lang w:val="en-US"/>
        </w:rPr>
        <w:t>Overseas work experience</w:t>
      </w:r>
      <w:r w:rsidRPr="00067040">
        <w:rPr>
          <w:sz w:val="22"/>
          <w:szCs w:val="22"/>
          <w:lang w:val="en-US"/>
        </w:rPr>
        <w:t xml:space="preserve"> – </w:t>
      </w:r>
      <w:r w:rsidR="00D10289" w:rsidRPr="00067040">
        <w:rPr>
          <w:sz w:val="22"/>
          <w:szCs w:val="22"/>
          <w:lang w:val="en-US"/>
        </w:rPr>
        <w:t xml:space="preserve">worked in Fujian for over three </w:t>
      </w:r>
      <w:r w:rsidR="00CF73D3" w:rsidRPr="00067040">
        <w:rPr>
          <w:sz w:val="22"/>
          <w:szCs w:val="22"/>
          <w:lang w:val="en-US"/>
        </w:rPr>
        <w:t xml:space="preserve">months to </w:t>
      </w:r>
      <w:r w:rsidR="0026175C" w:rsidRPr="00067040">
        <w:rPr>
          <w:sz w:val="22"/>
          <w:szCs w:val="22"/>
          <w:lang w:val="en-US"/>
        </w:rPr>
        <w:t xml:space="preserve">perform </w:t>
      </w:r>
      <w:r w:rsidR="00A26B6E" w:rsidRPr="00067040">
        <w:rPr>
          <w:sz w:val="22"/>
          <w:szCs w:val="22"/>
          <w:lang w:val="en-US"/>
        </w:rPr>
        <w:t xml:space="preserve">IPO field work (reverse acquisition), </w:t>
      </w:r>
      <w:r w:rsidR="0026175C" w:rsidRPr="00067040">
        <w:rPr>
          <w:sz w:val="22"/>
          <w:szCs w:val="22"/>
          <w:lang w:val="en-US"/>
        </w:rPr>
        <w:t>site</w:t>
      </w:r>
      <w:r w:rsidR="00A26B6E" w:rsidRPr="00067040">
        <w:rPr>
          <w:sz w:val="22"/>
          <w:szCs w:val="22"/>
          <w:lang w:val="en-US"/>
        </w:rPr>
        <w:t xml:space="preserve"> inspecti</w:t>
      </w:r>
      <w:r w:rsidR="00D10289" w:rsidRPr="00067040">
        <w:rPr>
          <w:sz w:val="22"/>
          <w:szCs w:val="22"/>
          <w:lang w:val="en-US"/>
        </w:rPr>
        <w:t>on, liaise with client (</w:t>
      </w:r>
      <w:r w:rsidR="00A26B6E" w:rsidRPr="00067040">
        <w:rPr>
          <w:sz w:val="22"/>
          <w:szCs w:val="22"/>
          <w:lang w:val="en-US"/>
        </w:rPr>
        <w:t>a property developer</w:t>
      </w:r>
      <w:r w:rsidR="00D10289" w:rsidRPr="00067040">
        <w:rPr>
          <w:sz w:val="22"/>
          <w:szCs w:val="22"/>
          <w:lang w:val="en-US"/>
        </w:rPr>
        <w:t>)</w:t>
      </w:r>
      <w:r w:rsidR="00A26B6E" w:rsidRPr="00067040">
        <w:rPr>
          <w:sz w:val="22"/>
          <w:szCs w:val="22"/>
          <w:lang w:val="en-US"/>
        </w:rPr>
        <w:t xml:space="preserve"> </w:t>
      </w:r>
      <w:r w:rsidR="0026175C" w:rsidRPr="00067040">
        <w:rPr>
          <w:sz w:val="22"/>
          <w:szCs w:val="22"/>
          <w:lang w:val="en-US"/>
        </w:rPr>
        <w:t xml:space="preserve">and sponsor. </w:t>
      </w:r>
      <w:r w:rsidR="000A23F8" w:rsidRPr="00067040">
        <w:rPr>
          <w:sz w:val="22"/>
          <w:szCs w:val="22"/>
          <w:lang w:val="en-US"/>
        </w:rPr>
        <w:t xml:space="preserve"> </w:t>
      </w:r>
    </w:p>
    <w:p w:rsidR="000A23F8" w:rsidRPr="00733097" w:rsidRDefault="000A23F8" w:rsidP="00F44F22">
      <w:pPr>
        <w:pBdr>
          <w:bottom w:val="single" w:sz="12" w:space="1" w:color="auto"/>
        </w:pBdr>
        <w:jc w:val="both"/>
        <w:rPr>
          <w:b/>
          <w:sz w:val="22"/>
          <w:szCs w:val="22"/>
          <w:lang w:val="en-US"/>
        </w:rPr>
      </w:pPr>
      <w:r w:rsidRPr="00733097">
        <w:rPr>
          <w:b/>
          <w:sz w:val="22"/>
          <w:szCs w:val="22"/>
          <w:lang w:val="en-US"/>
        </w:rPr>
        <w:t>PROFESSIONAL QUALIFICATION AND EDUCATION</w:t>
      </w:r>
    </w:p>
    <w:p w:rsidR="007079E6" w:rsidRDefault="007079E6" w:rsidP="00F44F22">
      <w:pPr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The Hong Kong Institute of Chartered Secretaries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  <w:t xml:space="preserve">    2016 - present</w:t>
      </w:r>
    </w:p>
    <w:p w:rsidR="00A768C4" w:rsidRPr="004166CC" w:rsidRDefault="007079E6" w:rsidP="00F44F22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Completed paper for Corporate Law and Corporate Administration </w:t>
      </w:r>
    </w:p>
    <w:p w:rsidR="000A23F8" w:rsidRPr="00733097" w:rsidRDefault="000A23F8" w:rsidP="00F44F22">
      <w:pPr>
        <w:jc w:val="both"/>
        <w:rPr>
          <w:b/>
          <w:sz w:val="22"/>
          <w:szCs w:val="22"/>
          <w:lang w:val="en-US"/>
        </w:rPr>
      </w:pPr>
      <w:r w:rsidRPr="00733097">
        <w:rPr>
          <w:b/>
          <w:sz w:val="22"/>
          <w:szCs w:val="22"/>
          <w:lang w:val="en-US"/>
        </w:rPr>
        <w:t>HK</w:t>
      </w:r>
      <w:r w:rsidR="00533B3D">
        <w:rPr>
          <w:b/>
          <w:sz w:val="22"/>
          <w:szCs w:val="22"/>
          <w:lang w:val="en-US"/>
        </w:rPr>
        <w:t>ICPA CPA Qualification Program</w:t>
      </w:r>
      <w:r w:rsidR="00B5068C">
        <w:rPr>
          <w:b/>
          <w:sz w:val="22"/>
          <w:szCs w:val="22"/>
          <w:lang w:val="en-US"/>
        </w:rPr>
        <w:t>, Hong Kong</w:t>
      </w:r>
      <w:r w:rsidR="00B5068C">
        <w:rPr>
          <w:b/>
          <w:sz w:val="22"/>
          <w:szCs w:val="22"/>
          <w:lang w:val="en-US"/>
        </w:rPr>
        <w:tab/>
      </w:r>
      <w:r w:rsidR="00B5068C">
        <w:rPr>
          <w:b/>
          <w:sz w:val="22"/>
          <w:szCs w:val="22"/>
          <w:lang w:val="en-US"/>
        </w:rPr>
        <w:tab/>
      </w:r>
      <w:r w:rsidR="00B5068C">
        <w:rPr>
          <w:b/>
          <w:sz w:val="22"/>
          <w:szCs w:val="22"/>
          <w:lang w:val="en-US"/>
        </w:rPr>
        <w:tab/>
        <w:t xml:space="preserve">    </w:t>
      </w:r>
      <w:r w:rsidR="00E261D7">
        <w:rPr>
          <w:b/>
          <w:sz w:val="22"/>
          <w:szCs w:val="22"/>
          <w:lang w:val="en-US"/>
        </w:rPr>
        <w:tab/>
      </w:r>
      <w:r w:rsidR="00174F64">
        <w:rPr>
          <w:b/>
          <w:sz w:val="22"/>
          <w:szCs w:val="22"/>
          <w:lang w:val="en-US"/>
        </w:rPr>
        <w:t xml:space="preserve">    2016</w:t>
      </w:r>
      <w:r w:rsidR="00E261D7">
        <w:rPr>
          <w:b/>
          <w:sz w:val="22"/>
          <w:szCs w:val="22"/>
          <w:lang w:val="en-US"/>
        </w:rPr>
        <w:t xml:space="preserve"> -</w:t>
      </w:r>
      <w:r w:rsidRPr="00733097">
        <w:rPr>
          <w:b/>
          <w:sz w:val="22"/>
          <w:szCs w:val="22"/>
          <w:lang w:val="en-US"/>
        </w:rPr>
        <w:t xml:space="preserve"> present </w:t>
      </w:r>
    </w:p>
    <w:p w:rsidR="00A768C4" w:rsidRPr="004166CC" w:rsidRDefault="007079E6" w:rsidP="004166CC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4166CC">
        <w:rPr>
          <w:sz w:val="22"/>
          <w:szCs w:val="22"/>
          <w:lang w:val="en-US"/>
        </w:rPr>
        <w:t xml:space="preserve">Qualified </w:t>
      </w:r>
      <w:r w:rsidR="001824FE" w:rsidRPr="004166CC">
        <w:rPr>
          <w:sz w:val="22"/>
          <w:szCs w:val="22"/>
          <w:lang w:val="en-US"/>
        </w:rPr>
        <w:t>CPA</w:t>
      </w:r>
    </w:p>
    <w:p w:rsidR="000A23F8" w:rsidRPr="00733097" w:rsidRDefault="001824FE" w:rsidP="00F44F22">
      <w:pPr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The </w:t>
      </w:r>
      <w:r w:rsidR="000A23F8" w:rsidRPr="00733097">
        <w:rPr>
          <w:b/>
          <w:sz w:val="22"/>
          <w:szCs w:val="22"/>
          <w:lang w:val="en-US"/>
        </w:rPr>
        <w:t>University of</w:t>
      </w:r>
      <w:r>
        <w:rPr>
          <w:b/>
          <w:sz w:val="22"/>
          <w:szCs w:val="22"/>
          <w:lang w:val="en-US"/>
        </w:rPr>
        <w:t xml:space="preserve"> Hong Kong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 w:rsidR="00B5068C">
        <w:rPr>
          <w:b/>
          <w:sz w:val="22"/>
          <w:szCs w:val="22"/>
          <w:lang w:val="en-US"/>
        </w:rPr>
        <w:t xml:space="preserve"> </w:t>
      </w:r>
      <w:r w:rsidR="00B5068C">
        <w:rPr>
          <w:b/>
          <w:sz w:val="22"/>
          <w:szCs w:val="22"/>
          <w:lang w:val="en-US"/>
        </w:rPr>
        <w:tab/>
        <w:t xml:space="preserve">                     </w:t>
      </w:r>
      <w:r w:rsidR="009D5595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 xml:space="preserve">2010 </w:t>
      </w:r>
      <w:r w:rsidR="009D5595">
        <w:rPr>
          <w:b/>
          <w:sz w:val="22"/>
          <w:szCs w:val="22"/>
          <w:lang w:val="en-US"/>
        </w:rPr>
        <w:t>-</w:t>
      </w:r>
      <w:r>
        <w:rPr>
          <w:b/>
          <w:sz w:val="22"/>
          <w:szCs w:val="22"/>
          <w:lang w:val="en-US"/>
        </w:rPr>
        <w:t xml:space="preserve"> 2013</w:t>
      </w:r>
    </w:p>
    <w:p w:rsidR="000A23F8" w:rsidRDefault="000A23F8" w:rsidP="00F44F22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733097">
        <w:rPr>
          <w:sz w:val="22"/>
          <w:szCs w:val="22"/>
          <w:lang w:val="en-US"/>
        </w:rPr>
        <w:t>B</w:t>
      </w:r>
      <w:r w:rsidR="007079E6">
        <w:rPr>
          <w:sz w:val="22"/>
          <w:szCs w:val="22"/>
          <w:lang w:val="en-US"/>
        </w:rPr>
        <w:t xml:space="preserve">BA(Acc&amp;Fin) </w:t>
      </w:r>
      <w:r w:rsidR="00364A60">
        <w:rPr>
          <w:sz w:val="22"/>
          <w:szCs w:val="22"/>
          <w:lang w:val="en-US"/>
        </w:rPr>
        <w:t xml:space="preserve">; </w:t>
      </w:r>
      <w:r w:rsidRPr="00733097">
        <w:rPr>
          <w:sz w:val="22"/>
          <w:szCs w:val="22"/>
          <w:lang w:val="en-US"/>
        </w:rPr>
        <w:t>Second-Class</w:t>
      </w:r>
      <w:r w:rsidR="00AD17E3">
        <w:rPr>
          <w:sz w:val="22"/>
          <w:szCs w:val="22"/>
          <w:lang w:val="en-US"/>
        </w:rPr>
        <w:t xml:space="preserve"> (Division One); </w:t>
      </w:r>
    </w:p>
    <w:p w:rsidR="00AD17E3" w:rsidRPr="00AD17E3" w:rsidRDefault="00AD17E3" w:rsidP="004166CC">
      <w:pPr>
        <w:jc w:val="both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IELTS </w:t>
      </w:r>
      <w:r>
        <w:rPr>
          <w:sz w:val="22"/>
          <w:szCs w:val="22"/>
          <w:lang w:val="en-US"/>
        </w:rPr>
        <w:t xml:space="preserve">[Overall score 8.0]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      </w:t>
      </w:r>
      <w:r w:rsidR="00597238">
        <w:rPr>
          <w:sz w:val="22"/>
          <w:szCs w:val="22"/>
          <w:lang w:val="en-US"/>
        </w:rPr>
        <w:t xml:space="preserve"> </w:t>
      </w:r>
      <w:r w:rsidRPr="00AD17E3">
        <w:rPr>
          <w:b/>
          <w:sz w:val="22"/>
          <w:szCs w:val="22"/>
          <w:lang w:val="en-US"/>
        </w:rPr>
        <w:t>2012</w:t>
      </w:r>
      <w:r w:rsidR="00597238">
        <w:rPr>
          <w:b/>
          <w:sz w:val="22"/>
          <w:szCs w:val="22"/>
          <w:lang w:val="en-US"/>
        </w:rPr>
        <w:t xml:space="preserve"> </w:t>
      </w:r>
    </w:p>
    <w:p w:rsidR="004166CC" w:rsidRPr="004166CC" w:rsidRDefault="004166CC" w:rsidP="004166CC">
      <w:pPr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Hang Seng School of Commerce</w:t>
      </w:r>
      <w:r w:rsidRPr="004166CC">
        <w:rPr>
          <w:b/>
          <w:sz w:val="22"/>
          <w:szCs w:val="22"/>
          <w:lang w:val="en-US"/>
        </w:rPr>
        <w:tab/>
      </w:r>
      <w:r w:rsidR="00AD17E3">
        <w:rPr>
          <w:sz w:val="22"/>
          <w:szCs w:val="22"/>
          <w:lang w:val="en-US"/>
        </w:rPr>
        <w:t>[HKALE 3A2B1C]</w:t>
      </w:r>
      <w:r w:rsidRPr="004166CC">
        <w:rPr>
          <w:b/>
          <w:sz w:val="22"/>
          <w:szCs w:val="22"/>
          <w:lang w:val="en-US"/>
        </w:rPr>
        <w:tab/>
        <w:t xml:space="preserve"> </w:t>
      </w:r>
      <w:r w:rsidRPr="004166CC">
        <w:rPr>
          <w:b/>
          <w:sz w:val="22"/>
          <w:szCs w:val="22"/>
          <w:lang w:val="en-US"/>
        </w:rPr>
        <w:tab/>
        <w:t xml:space="preserve">                     </w:t>
      </w:r>
      <w:r w:rsidR="009D5595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 xml:space="preserve">2008 </w:t>
      </w:r>
      <w:r w:rsidR="009D5595">
        <w:rPr>
          <w:b/>
          <w:sz w:val="22"/>
          <w:szCs w:val="22"/>
          <w:lang w:val="en-US"/>
        </w:rPr>
        <w:t>-</w:t>
      </w:r>
      <w:r>
        <w:rPr>
          <w:b/>
          <w:sz w:val="22"/>
          <w:szCs w:val="22"/>
          <w:lang w:val="en-US"/>
        </w:rPr>
        <w:t xml:space="preserve"> 2010</w:t>
      </w:r>
    </w:p>
    <w:p w:rsidR="00FD3143" w:rsidRPr="00733097" w:rsidRDefault="00FD3143" w:rsidP="00F44F22">
      <w:pPr>
        <w:pBdr>
          <w:bottom w:val="single" w:sz="12" w:space="1" w:color="auto"/>
        </w:pBdr>
        <w:jc w:val="both"/>
        <w:rPr>
          <w:b/>
          <w:sz w:val="22"/>
          <w:szCs w:val="22"/>
          <w:lang w:val="en-US"/>
        </w:rPr>
      </w:pPr>
      <w:r w:rsidRPr="00733097">
        <w:rPr>
          <w:b/>
          <w:sz w:val="22"/>
          <w:szCs w:val="22"/>
          <w:lang w:val="en-US"/>
        </w:rPr>
        <w:t>SKILLS</w:t>
      </w:r>
    </w:p>
    <w:p w:rsidR="00FD3143" w:rsidRDefault="00FD3143" w:rsidP="00F44F22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 w:rsidRPr="00733097">
        <w:rPr>
          <w:sz w:val="22"/>
          <w:szCs w:val="22"/>
          <w:lang w:val="en-US"/>
        </w:rPr>
        <w:t>Fluent in English, Cantonese and Mandarin</w:t>
      </w:r>
      <w:r w:rsidR="00067040">
        <w:rPr>
          <w:sz w:val="22"/>
          <w:szCs w:val="22"/>
          <w:lang w:val="en-US"/>
        </w:rPr>
        <w:t xml:space="preserve"> (Excel in typing Chinese character with pinyin)</w:t>
      </w:r>
    </w:p>
    <w:p w:rsidR="00435E3B" w:rsidRPr="00FF08F3" w:rsidRDefault="00533B3D" w:rsidP="00F44F22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Proficient use</w:t>
      </w:r>
      <w:r w:rsidR="00FD3143" w:rsidRPr="00FF08F3">
        <w:rPr>
          <w:sz w:val="22"/>
          <w:szCs w:val="22"/>
          <w:lang w:val="en-US"/>
        </w:rPr>
        <w:t xml:space="preserve"> of Microsoft Office products including Word, Power Point and Excel</w:t>
      </w:r>
    </w:p>
    <w:sectPr w:rsidR="00435E3B" w:rsidRPr="00FF08F3" w:rsidSect="000152C6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12A" w:rsidRDefault="00C4012A" w:rsidP="00D43EC6">
      <w:pPr>
        <w:spacing w:after="0"/>
      </w:pPr>
      <w:r>
        <w:separator/>
      </w:r>
    </w:p>
  </w:endnote>
  <w:endnote w:type="continuationSeparator" w:id="0">
    <w:p w:rsidR="00C4012A" w:rsidRDefault="00C4012A" w:rsidP="00D43E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12A" w:rsidRDefault="00C4012A" w:rsidP="00D43EC6">
      <w:pPr>
        <w:spacing w:after="0"/>
      </w:pPr>
      <w:r>
        <w:separator/>
      </w:r>
    </w:p>
  </w:footnote>
  <w:footnote w:type="continuationSeparator" w:id="0">
    <w:p w:rsidR="00C4012A" w:rsidRDefault="00C4012A" w:rsidP="00D43E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B1A15"/>
    <w:multiLevelType w:val="hybridMultilevel"/>
    <w:tmpl w:val="A9A6C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715245"/>
    <w:multiLevelType w:val="hybridMultilevel"/>
    <w:tmpl w:val="B74A2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DD5086"/>
    <w:multiLevelType w:val="hybridMultilevel"/>
    <w:tmpl w:val="B54CD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7F"/>
    <w:rsid w:val="0001274A"/>
    <w:rsid w:val="000152C6"/>
    <w:rsid w:val="000378B2"/>
    <w:rsid w:val="00067040"/>
    <w:rsid w:val="0007740A"/>
    <w:rsid w:val="000A23F8"/>
    <w:rsid w:val="000D6A34"/>
    <w:rsid w:val="001338E1"/>
    <w:rsid w:val="00174F64"/>
    <w:rsid w:val="001824FE"/>
    <w:rsid w:val="001F05B4"/>
    <w:rsid w:val="002175D9"/>
    <w:rsid w:val="00243C52"/>
    <w:rsid w:val="0026175C"/>
    <w:rsid w:val="00273D21"/>
    <w:rsid w:val="00291BDA"/>
    <w:rsid w:val="0032022B"/>
    <w:rsid w:val="0032705A"/>
    <w:rsid w:val="003454C7"/>
    <w:rsid w:val="00364A60"/>
    <w:rsid w:val="003700A9"/>
    <w:rsid w:val="0037161F"/>
    <w:rsid w:val="003A2FA3"/>
    <w:rsid w:val="003C27E0"/>
    <w:rsid w:val="003C61AE"/>
    <w:rsid w:val="003F6ECF"/>
    <w:rsid w:val="0041591B"/>
    <w:rsid w:val="004166CC"/>
    <w:rsid w:val="00435E3B"/>
    <w:rsid w:val="004556E1"/>
    <w:rsid w:val="00465C0B"/>
    <w:rsid w:val="00494A7F"/>
    <w:rsid w:val="00533B3D"/>
    <w:rsid w:val="00536177"/>
    <w:rsid w:val="00541650"/>
    <w:rsid w:val="00563DB4"/>
    <w:rsid w:val="00564AFA"/>
    <w:rsid w:val="00597238"/>
    <w:rsid w:val="00597932"/>
    <w:rsid w:val="005B2A75"/>
    <w:rsid w:val="00642197"/>
    <w:rsid w:val="00647034"/>
    <w:rsid w:val="0067187B"/>
    <w:rsid w:val="00700DAC"/>
    <w:rsid w:val="00701E03"/>
    <w:rsid w:val="007079E6"/>
    <w:rsid w:val="00733097"/>
    <w:rsid w:val="007524FF"/>
    <w:rsid w:val="00782CF5"/>
    <w:rsid w:val="007A127F"/>
    <w:rsid w:val="00821C9A"/>
    <w:rsid w:val="008876FD"/>
    <w:rsid w:val="00893081"/>
    <w:rsid w:val="008C1CC3"/>
    <w:rsid w:val="008D7C97"/>
    <w:rsid w:val="008F09B8"/>
    <w:rsid w:val="0092086B"/>
    <w:rsid w:val="009762DE"/>
    <w:rsid w:val="00976E19"/>
    <w:rsid w:val="009A3B94"/>
    <w:rsid w:val="009D3EB4"/>
    <w:rsid w:val="009D5595"/>
    <w:rsid w:val="00A0727B"/>
    <w:rsid w:val="00A2095B"/>
    <w:rsid w:val="00A20D22"/>
    <w:rsid w:val="00A26B6E"/>
    <w:rsid w:val="00A41CEE"/>
    <w:rsid w:val="00A768C4"/>
    <w:rsid w:val="00A8355F"/>
    <w:rsid w:val="00AA3562"/>
    <w:rsid w:val="00AB2589"/>
    <w:rsid w:val="00AD17E3"/>
    <w:rsid w:val="00AD61A4"/>
    <w:rsid w:val="00B33C72"/>
    <w:rsid w:val="00B5068C"/>
    <w:rsid w:val="00B624C3"/>
    <w:rsid w:val="00BD7468"/>
    <w:rsid w:val="00BE777D"/>
    <w:rsid w:val="00BF06EE"/>
    <w:rsid w:val="00C352C1"/>
    <w:rsid w:val="00C4012A"/>
    <w:rsid w:val="00C93BDF"/>
    <w:rsid w:val="00C97F84"/>
    <w:rsid w:val="00CA2EA9"/>
    <w:rsid w:val="00CC68B0"/>
    <w:rsid w:val="00CD6566"/>
    <w:rsid w:val="00CE6942"/>
    <w:rsid w:val="00CF39B9"/>
    <w:rsid w:val="00CF73D3"/>
    <w:rsid w:val="00D10289"/>
    <w:rsid w:val="00D43EC6"/>
    <w:rsid w:val="00D51D6E"/>
    <w:rsid w:val="00D65134"/>
    <w:rsid w:val="00D70B89"/>
    <w:rsid w:val="00D874CE"/>
    <w:rsid w:val="00DB5FD3"/>
    <w:rsid w:val="00E261D7"/>
    <w:rsid w:val="00E27F40"/>
    <w:rsid w:val="00E36595"/>
    <w:rsid w:val="00E44BAE"/>
    <w:rsid w:val="00E714E7"/>
    <w:rsid w:val="00EC4E2B"/>
    <w:rsid w:val="00ED3A95"/>
    <w:rsid w:val="00ED76B0"/>
    <w:rsid w:val="00EE79F7"/>
    <w:rsid w:val="00F44F22"/>
    <w:rsid w:val="00FB7512"/>
    <w:rsid w:val="00FD3143"/>
    <w:rsid w:val="00FF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0EEA2B78-F220-4D0E-9F86-4F1A7187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2" w:qFormat="1"/>
    <w:lsdException w:name="Intense Quote" w:uiPriority="13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BDA"/>
    <w:pPr>
      <w:spacing w:after="120"/>
    </w:pPr>
  </w:style>
  <w:style w:type="paragraph" w:styleId="Heading1">
    <w:name w:val="heading 1"/>
    <w:next w:val="Normal"/>
    <w:link w:val="Heading1Char"/>
    <w:uiPriority w:val="9"/>
    <w:qFormat/>
    <w:rsid w:val="00291BDA"/>
    <w:pPr>
      <w:keepNext/>
      <w:keepLines/>
      <w:spacing w:before="240" w:after="1200"/>
      <w:contextualSpacing/>
      <w:outlineLvl w:val="0"/>
    </w:pPr>
    <w:rPr>
      <w:rFonts w:asciiTheme="majorHAnsi" w:eastAsiaTheme="majorEastAsia" w:hAnsiTheme="majorHAnsi" w:cstheme="majorBidi"/>
      <w:bCs/>
      <w:color w:val="002776" w:themeColor="text2"/>
      <w:sz w:val="60"/>
      <w:szCs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91BDA"/>
    <w:pPr>
      <w:numPr>
        <w:ilvl w:val="1"/>
      </w:numPr>
      <w:spacing w:before="240" w:after="120"/>
      <w:contextualSpacing/>
      <w:outlineLvl w:val="1"/>
    </w:pPr>
    <w:rPr>
      <w:b/>
      <w:color w:val="002776" w:themeColor="text2"/>
      <w:sz w:val="24"/>
      <w:szCs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291BDA"/>
    <w:pPr>
      <w:numPr>
        <w:ilvl w:val="2"/>
      </w:numPr>
      <w:spacing w:before="240" w:after="120"/>
      <w:contextualSpacing/>
      <w:outlineLvl w:val="2"/>
    </w:pPr>
    <w:rPr>
      <w:rFonts w:eastAsiaTheme="majorEastAsia" w:cstheme="majorBidi"/>
      <w:b/>
      <w:bCs/>
      <w:color w:val="3C8A2E" w:themeColor="accent4"/>
      <w:sz w:val="24"/>
      <w:szCs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291BDA"/>
    <w:pPr>
      <w:numPr>
        <w:ilvl w:val="3"/>
      </w:numPr>
      <w:spacing w:before="240" w:after="120"/>
      <w:contextualSpacing/>
      <w:outlineLvl w:val="3"/>
    </w:pPr>
    <w:rPr>
      <w:rFonts w:eastAsiaTheme="majorEastAsia" w:cstheme="majorBidi"/>
      <w:b/>
      <w:bCs/>
      <w:color w:val="00A1DE" w:themeColor="accent1"/>
      <w:sz w:val="24"/>
      <w:szCs w:val="28"/>
    </w:rPr>
  </w:style>
  <w:style w:type="paragraph" w:styleId="Heading5">
    <w:name w:val="heading 5"/>
    <w:next w:val="Normal"/>
    <w:link w:val="Heading5Char"/>
    <w:uiPriority w:val="9"/>
    <w:semiHidden/>
    <w:unhideWhenUsed/>
    <w:qFormat/>
    <w:rsid w:val="00291BDA"/>
    <w:pPr>
      <w:numPr>
        <w:ilvl w:val="4"/>
      </w:numPr>
      <w:spacing w:before="240" w:after="120"/>
      <w:contextualSpacing/>
      <w:outlineLvl w:val="4"/>
    </w:pPr>
    <w:rPr>
      <w:rFonts w:eastAsiaTheme="majorEastAsia" w:cstheme="majorBidi"/>
      <w:b/>
      <w:bCs/>
      <w:color w:val="92D400" w:themeColor="accent2"/>
      <w:sz w:val="24"/>
      <w:szCs w:val="28"/>
    </w:rPr>
  </w:style>
  <w:style w:type="paragraph" w:styleId="Heading6">
    <w:name w:val="heading 6"/>
    <w:next w:val="Normal"/>
    <w:link w:val="Heading6Char"/>
    <w:uiPriority w:val="9"/>
    <w:semiHidden/>
    <w:unhideWhenUsed/>
    <w:qFormat/>
    <w:rsid w:val="00291BDA"/>
    <w:pPr>
      <w:numPr>
        <w:ilvl w:val="5"/>
      </w:numPr>
      <w:spacing w:before="240" w:after="120"/>
      <w:contextualSpacing/>
      <w:outlineLvl w:val="5"/>
    </w:pPr>
    <w:rPr>
      <w:rFonts w:eastAsiaTheme="majorEastAsia" w:cstheme="majorBidi"/>
      <w:b/>
      <w:bCs/>
      <w:color w:val="72C7E7" w:themeColor="accent3"/>
      <w:sz w:val="24"/>
      <w:szCs w:val="28"/>
    </w:rPr>
  </w:style>
  <w:style w:type="paragraph" w:styleId="Heading7">
    <w:name w:val="heading 7"/>
    <w:next w:val="Normal"/>
    <w:link w:val="Heading7Char"/>
    <w:uiPriority w:val="9"/>
    <w:semiHidden/>
    <w:unhideWhenUsed/>
    <w:qFormat/>
    <w:rsid w:val="00291BDA"/>
    <w:pPr>
      <w:numPr>
        <w:ilvl w:val="6"/>
      </w:numPr>
      <w:spacing w:before="240" w:after="120"/>
      <w:contextualSpacing/>
      <w:outlineLvl w:val="6"/>
    </w:pPr>
    <w:rPr>
      <w:rFonts w:eastAsiaTheme="majorEastAsia" w:cstheme="majorBidi"/>
      <w:b/>
      <w:bCs/>
      <w:color w:val="C9DD03" w:themeColor="accent6"/>
      <w:sz w:val="24"/>
      <w:szCs w:val="28"/>
    </w:rPr>
  </w:style>
  <w:style w:type="paragraph" w:styleId="Heading8">
    <w:name w:val="heading 8"/>
    <w:next w:val="Normal"/>
    <w:link w:val="Heading8Char"/>
    <w:uiPriority w:val="9"/>
    <w:semiHidden/>
    <w:unhideWhenUsed/>
    <w:qFormat/>
    <w:rsid w:val="00291BDA"/>
    <w:pPr>
      <w:numPr>
        <w:ilvl w:val="7"/>
      </w:numPr>
      <w:spacing w:before="240" w:after="120"/>
      <w:contextualSpacing/>
      <w:outlineLvl w:val="7"/>
    </w:pPr>
    <w:rPr>
      <w:rFonts w:eastAsiaTheme="majorEastAsia" w:cstheme="majorBidi"/>
      <w:b/>
      <w:bCs/>
      <w:i/>
      <w:sz w:val="24"/>
      <w:szCs w:val="28"/>
    </w:rPr>
  </w:style>
  <w:style w:type="paragraph" w:styleId="Heading9">
    <w:name w:val="heading 9"/>
    <w:next w:val="Normal"/>
    <w:link w:val="Heading9Char"/>
    <w:uiPriority w:val="9"/>
    <w:semiHidden/>
    <w:unhideWhenUsed/>
    <w:qFormat/>
    <w:rsid w:val="00291BDA"/>
    <w:pPr>
      <w:numPr>
        <w:ilvl w:val="8"/>
      </w:numPr>
      <w:spacing w:before="240" w:after="120"/>
      <w:contextualSpacing/>
      <w:outlineLvl w:val="8"/>
    </w:pPr>
    <w:rPr>
      <w:rFonts w:eastAsiaTheme="majorEastAsia" w:cstheme="majorBidi"/>
      <w:bCs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C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43EC6"/>
  </w:style>
  <w:style w:type="paragraph" w:styleId="Footer">
    <w:name w:val="footer"/>
    <w:basedOn w:val="Normal"/>
    <w:link w:val="FooterChar"/>
    <w:uiPriority w:val="99"/>
    <w:unhideWhenUsed/>
    <w:rsid w:val="00D43EC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43EC6"/>
  </w:style>
  <w:style w:type="character" w:customStyle="1" w:styleId="Heading1Char">
    <w:name w:val="Heading 1 Char"/>
    <w:basedOn w:val="DefaultParagraphFont"/>
    <w:link w:val="Heading1"/>
    <w:uiPriority w:val="9"/>
    <w:rsid w:val="00291BDA"/>
    <w:rPr>
      <w:rFonts w:asciiTheme="majorHAnsi" w:eastAsiaTheme="majorEastAsia" w:hAnsiTheme="majorHAnsi" w:cstheme="majorBidi"/>
      <w:bCs/>
      <w:color w:val="002776" w:themeColor="text2"/>
      <w:sz w:val="6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BDA"/>
    <w:rPr>
      <w:b/>
      <w:color w:val="002776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BDA"/>
    <w:rPr>
      <w:rFonts w:eastAsiaTheme="majorEastAsia" w:cstheme="majorBidi"/>
      <w:b/>
      <w:bCs/>
      <w:color w:val="3C8A2E" w:themeColor="accent4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BDA"/>
    <w:rPr>
      <w:rFonts w:eastAsiaTheme="majorEastAsia" w:cstheme="majorBidi"/>
      <w:b/>
      <w:bCs/>
      <w:color w:val="00A1DE" w:themeColor="accent1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BDA"/>
    <w:rPr>
      <w:rFonts w:eastAsiaTheme="majorEastAsia" w:cstheme="majorBidi"/>
      <w:b/>
      <w:bCs/>
      <w:color w:val="92D400" w:themeColor="accent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BDA"/>
    <w:rPr>
      <w:rFonts w:eastAsiaTheme="majorEastAsia" w:cstheme="majorBidi"/>
      <w:b/>
      <w:bCs/>
      <w:color w:val="72C7E7" w:themeColor="accent3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BDA"/>
    <w:rPr>
      <w:rFonts w:eastAsiaTheme="majorEastAsia" w:cstheme="majorBidi"/>
      <w:b/>
      <w:bCs/>
      <w:color w:val="C9DD03" w:themeColor="accent6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BDA"/>
    <w:rPr>
      <w:rFonts w:eastAsiaTheme="majorEastAsia" w:cstheme="majorBidi"/>
      <w:b/>
      <w:bCs/>
      <w:i/>
      <w:sz w:val="24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BDA"/>
    <w:rPr>
      <w:rFonts w:eastAsiaTheme="majorEastAsia" w:cstheme="majorBidi"/>
      <w:bCs/>
      <w:i/>
      <w:sz w:val="24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91BDA"/>
  </w:style>
  <w:style w:type="paragraph" w:styleId="TOC2">
    <w:name w:val="toc 2"/>
    <w:basedOn w:val="TOC1"/>
    <w:next w:val="Normal"/>
    <w:autoRedefine/>
    <w:uiPriority w:val="39"/>
    <w:semiHidden/>
    <w:unhideWhenUsed/>
    <w:qFormat/>
    <w:rsid w:val="00291BDA"/>
    <w:pPr>
      <w:ind w:left="142"/>
    </w:pPr>
  </w:style>
  <w:style w:type="paragraph" w:styleId="TOC3">
    <w:name w:val="toc 3"/>
    <w:basedOn w:val="TOC1"/>
    <w:next w:val="Normal"/>
    <w:autoRedefine/>
    <w:uiPriority w:val="39"/>
    <w:semiHidden/>
    <w:unhideWhenUsed/>
    <w:qFormat/>
    <w:rsid w:val="00291BDA"/>
    <w:pPr>
      <w:ind w:left="284"/>
    </w:pPr>
  </w:style>
  <w:style w:type="paragraph" w:styleId="Caption">
    <w:name w:val="caption"/>
    <w:basedOn w:val="Normal"/>
    <w:uiPriority w:val="37"/>
    <w:semiHidden/>
    <w:qFormat/>
    <w:rsid w:val="00291BDA"/>
    <w:pPr>
      <w:spacing w:after="0"/>
    </w:pPr>
    <w:rPr>
      <w:b/>
      <w:bCs/>
      <w:sz w:val="16"/>
      <w:szCs w:val="18"/>
    </w:rPr>
  </w:style>
  <w:style w:type="paragraph" w:styleId="Title">
    <w:name w:val="Title"/>
    <w:next w:val="Subtitle"/>
    <w:link w:val="TitleChar"/>
    <w:uiPriority w:val="10"/>
    <w:qFormat/>
    <w:rsid w:val="00291BDA"/>
    <w:pPr>
      <w:framePr w:wrap="notBeside" w:vAnchor="text" w:hAnchor="text" w:y="1"/>
      <w:spacing w:before="1200" w:after="240"/>
      <w:contextualSpacing/>
    </w:pPr>
    <w:rPr>
      <w:rFonts w:asciiTheme="majorHAnsi" w:eastAsiaTheme="majorEastAsia" w:hAnsiTheme="majorHAnsi" w:cstheme="majorBidi"/>
      <w:bCs/>
      <w:color w:val="002776" w:themeColor="text2"/>
      <w:sz w:val="7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91BDA"/>
    <w:rPr>
      <w:rFonts w:asciiTheme="majorHAnsi" w:eastAsiaTheme="majorEastAsia" w:hAnsiTheme="majorHAnsi" w:cstheme="majorBidi"/>
      <w:bCs/>
      <w:color w:val="002776" w:themeColor="text2"/>
      <w:sz w:val="72"/>
      <w:szCs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291BDA"/>
    <w:pPr>
      <w:framePr w:wrap="notBeside"/>
      <w:spacing w:before="0" w:after="1200"/>
    </w:pPr>
    <w:rPr>
      <w:color w:val="92D400" w:themeColor="accent2"/>
    </w:rPr>
  </w:style>
  <w:style w:type="character" w:customStyle="1" w:styleId="SubtitleChar">
    <w:name w:val="Subtitle Char"/>
    <w:basedOn w:val="DefaultParagraphFont"/>
    <w:link w:val="Subtitle"/>
    <w:uiPriority w:val="11"/>
    <w:rsid w:val="00291BDA"/>
    <w:rPr>
      <w:rFonts w:asciiTheme="majorHAnsi" w:eastAsiaTheme="majorEastAsia" w:hAnsiTheme="majorHAnsi" w:cstheme="majorBidi"/>
      <w:bCs/>
      <w:color w:val="92D400" w:themeColor="accent2"/>
      <w:sz w:val="72"/>
      <w:szCs w:val="28"/>
    </w:rPr>
  </w:style>
  <w:style w:type="paragraph" w:styleId="Quote">
    <w:name w:val="Quote"/>
    <w:link w:val="QuoteChar"/>
    <w:uiPriority w:val="12"/>
    <w:qFormat/>
    <w:rsid w:val="00291BDA"/>
    <w:pPr>
      <w:framePr w:wrap="notBeside" w:vAnchor="text" w:hAnchor="text" w:y="1"/>
      <w:spacing w:before="360" w:after="360"/>
      <w:contextualSpacing/>
    </w:pPr>
    <w:rPr>
      <w:rFonts w:asciiTheme="majorHAnsi" w:eastAsiaTheme="majorEastAsia" w:hAnsiTheme="majorHAnsi" w:cstheme="majorBidi"/>
      <w:bCs/>
      <w:color w:val="00A1DE" w:themeColor="accent1"/>
      <w:sz w:val="32"/>
      <w:szCs w:val="28"/>
    </w:rPr>
  </w:style>
  <w:style w:type="character" w:customStyle="1" w:styleId="QuoteChar">
    <w:name w:val="Quote Char"/>
    <w:basedOn w:val="DefaultParagraphFont"/>
    <w:link w:val="Quote"/>
    <w:uiPriority w:val="12"/>
    <w:rsid w:val="00291BDA"/>
    <w:rPr>
      <w:rFonts w:asciiTheme="majorHAnsi" w:eastAsiaTheme="majorEastAsia" w:hAnsiTheme="majorHAnsi" w:cstheme="majorBidi"/>
      <w:bCs/>
      <w:color w:val="00A1DE" w:themeColor="accent1"/>
      <w:sz w:val="32"/>
      <w:szCs w:val="28"/>
    </w:rPr>
  </w:style>
  <w:style w:type="paragraph" w:styleId="IntenseQuote">
    <w:name w:val="Intense Quote"/>
    <w:basedOn w:val="Quote"/>
    <w:link w:val="IntenseQuoteChar"/>
    <w:uiPriority w:val="13"/>
    <w:qFormat/>
    <w:rsid w:val="00291BDA"/>
    <w:pPr>
      <w:framePr w:wrap="notBeside"/>
    </w:pPr>
    <w:rPr>
      <w:color w:val="3C8A2E" w:themeColor="accent4"/>
    </w:rPr>
  </w:style>
  <w:style w:type="character" w:customStyle="1" w:styleId="IntenseQuoteChar">
    <w:name w:val="Intense Quote Char"/>
    <w:basedOn w:val="DefaultParagraphFont"/>
    <w:link w:val="IntenseQuote"/>
    <w:uiPriority w:val="13"/>
    <w:rsid w:val="00291BDA"/>
    <w:rPr>
      <w:rFonts w:asciiTheme="majorHAnsi" w:eastAsiaTheme="majorEastAsia" w:hAnsiTheme="majorHAnsi" w:cstheme="majorBidi"/>
      <w:bCs/>
      <w:color w:val="3C8A2E" w:themeColor="accent4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BDA"/>
    <w:pPr>
      <w:outlineLvl w:val="9"/>
    </w:pPr>
    <w:rPr>
      <w:color w:val="00A1DE" w:themeColor="accent1"/>
    </w:rPr>
  </w:style>
  <w:style w:type="paragraph" w:styleId="ListParagraph">
    <w:name w:val="List Paragraph"/>
    <w:basedOn w:val="Normal"/>
    <w:uiPriority w:val="34"/>
    <w:rsid w:val="008D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">
  <a:themeElements>
    <a:clrScheme name="Deloitte new">
      <a:dk1>
        <a:srgbClr val="000000"/>
      </a:dk1>
      <a:lt1>
        <a:srgbClr val="FFFFFF"/>
      </a:lt1>
      <a:dk2>
        <a:srgbClr val="002776"/>
      </a:dk2>
      <a:lt2>
        <a:srgbClr val="FFFFFF"/>
      </a:lt2>
      <a:accent1>
        <a:srgbClr val="00A1DE"/>
      </a:accent1>
      <a:accent2>
        <a:srgbClr val="92D400"/>
      </a:accent2>
      <a:accent3>
        <a:srgbClr val="72C7E7"/>
      </a:accent3>
      <a:accent4>
        <a:srgbClr val="3C8A2E"/>
      </a:accent4>
      <a:accent5>
        <a:srgbClr val="002776"/>
      </a:accent5>
      <a:accent6>
        <a:srgbClr val="C9DD03"/>
      </a:accent6>
      <a:hlink>
        <a:srgbClr val="00A1DE"/>
      </a:hlink>
      <a:folHlink>
        <a:srgbClr val="72C7E7"/>
      </a:folHlink>
    </a:clrScheme>
    <a:fontScheme name="Deloitte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solidFill>
            <a:schemeClr val="tx2"/>
          </a:solidFill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spcAft>
            <a:spcPts val="300"/>
          </a:spcAft>
          <a:defRPr dirty="0" smtClean="0">
            <a:solidFill>
              <a:schemeClr val="tx2"/>
            </a:solidFill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(Open)</dc:creator>
  <cp:keywords/>
  <dc:description/>
  <cp:lastModifiedBy>David SL Yip</cp:lastModifiedBy>
  <cp:revision>67</cp:revision>
  <dcterms:created xsi:type="dcterms:W3CDTF">2016-06-29T14:34:00Z</dcterms:created>
  <dcterms:modified xsi:type="dcterms:W3CDTF">2017-08-15T16:20:00Z</dcterms:modified>
</cp:coreProperties>
</file>