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DD2D" w14:textId="77777777" w:rsidR="00B9340E" w:rsidRPr="00B9340E" w:rsidRDefault="00B9340E" w:rsidP="00B9340E">
      <w:pPr>
        <w:jc w:val="center"/>
        <w:rPr>
          <w:b/>
          <w:bCs/>
          <w:sz w:val="36"/>
          <w:szCs w:val="36"/>
        </w:rPr>
      </w:pPr>
      <w:r w:rsidRPr="00B9340E">
        <w:rPr>
          <w:b/>
          <w:bCs/>
          <w:sz w:val="36"/>
          <w:szCs w:val="36"/>
        </w:rPr>
        <w:t>Informe de Beneficios Estratégicos: Sistema de Inteligencia Taxco 2027</w:t>
      </w:r>
    </w:p>
    <w:p w14:paraId="334FEA54" w14:textId="6D1B35FE" w:rsidR="00B9340E" w:rsidRPr="00B9340E" w:rsidRDefault="00B9340E" w:rsidP="00B9340E">
      <w:r w:rsidRPr="00B9340E">
        <w:t xml:space="preserve">El sistema trasciende la planeación tradicional, que las fuentes califican como meramente </w:t>
      </w:r>
      <w:r w:rsidRPr="00B9340E">
        <w:rPr>
          <w:b/>
          <w:bCs/>
        </w:rPr>
        <w:t>"enunciativa"</w:t>
      </w:r>
      <w:r w:rsidRPr="00B9340E">
        <w:t xml:space="preserve"> y carente de sustento técnico, para ofrecer una </w:t>
      </w:r>
      <w:r w:rsidRPr="00B9340E">
        <w:rPr>
          <w:b/>
          <w:bCs/>
        </w:rPr>
        <w:t>herramienta de mando objetiva y científica</w:t>
      </w:r>
      <w:r w:rsidRPr="00B9340E">
        <w:t>.</w:t>
      </w:r>
    </w:p>
    <w:p w14:paraId="1BDD7056" w14:textId="77777777" w:rsidR="00B9340E" w:rsidRPr="00B9340E" w:rsidRDefault="00B9340E" w:rsidP="00B9340E">
      <w:r w:rsidRPr="00B9340E">
        <w:t>1. Inteligencia Territorial y Ventaja Electoral</w:t>
      </w:r>
    </w:p>
    <w:p w14:paraId="192B423A" w14:textId="1AEA277C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Identificación de Áreas de Oportunidad:</w:t>
      </w:r>
      <w:r w:rsidRPr="00B9340E">
        <w:t xml:space="preserve"> El sistema permite procesar </w:t>
      </w:r>
      <w:r w:rsidRPr="00B9340E">
        <w:rPr>
          <w:b/>
          <w:bCs/>
        </w:rPr>
        <w:t>140,586 votos históricos</w:t>
      </w:r>
      <w:r w:rsidRPr="00B9340E">
        <w:t xml:space="preserve"> y 88 indicadores sociodemográficos. Esto otorga la capacidad de identificar exactamente en qué secciones electorales (rango 2134 a 2222) se requiere una "operación política" basada en la </w:t>
      </w:r>
      <w:r w:rsidRPr="00B9340E">
        <w:rPr>
          <w:b/>
          <w:bCs/>
        </w:rPr>
        <w:t>participación ciudadana real</w:t>
      </w:r>
    </w:p>
    <w:p w14:paraId="2B985A47" w14:textId="689EF746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Ranking de Peso Electoral:</w:t>
      </w:r>
      <w:r w:rsidRPr="00B9340E">
        <w:t xml:space="preserve"> Mediante el análisis del padrón oficial del INE, el sistema identifica las </w:t>
      </w:r>
      <w:r w:rsidRPr="00B9340E">
        <w:rPr>
          <w:b/>
          <w:bCs/>
        </w:rPr>
        <w:t>20 secciones que concentran el mayor peso del electorado</w:t>
      </w:r>
      <w:r w:rsidRPr="00B9340E">
        <w:t xml:space="preserve"> (aproximadamente el 47.4%), permitiendo una asignación eficaz de recursos y tiempo en campaña</w:t>
      </w:r>
      <w:r>
        <w:t>.</w:t>
      </w:r>
    </w:p>
    <w:p w14:paraId="0ECC19E8" w14:textId="77777777" w:rsidR="00B9340E" w:rsidRPr="00B9340E" w:rsidRDefault="00B9340E" w:rsidP="00B9340E">
      <w:r w:rsidRPr="00B9340E">
        <w:t>2. Diagnóstico Social para una Narrativa de Impacto</w:t>
      </w:r>
    </w:p>
    <w:p w14:paraId="470A9107" w14:textId="09674716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Mapeo de Carencias Críticas:</w:t>
      </w:r>
      <w:r w:rsidRPr="00B9340E">
        <w:t xml:space="preserve"> A diferencia de otros aspirantes, la </w:t>
      </w:r>
      <w:proofErr w:type="spellStart"/>
      <w:r>
        <w:t>Dip</w:t>
      </w:r>
      <w:proofErr w:type="spellEnd"/>
      <w:r w:rsidRPr="00B9340E">
        <w:t xml:space="preserve">. Obdulia Naranjo contará con datos duros sobre el rezago en los cuatro pilares: </w:t>
      </w:r>
      <w:r w:rsidRPr="00B9340E">
        <w:rPr>
          <w:b/>
          <w:bCs/>
        </w:rPr>
        <w:t>salud, educación, vivienda y servicios básicos</w:t>
      </w:r>
      <w:r w:rsidRPr="00B9340E">
        <w:t>. El sistema detecta, por sección, déficits específicos como las viviendas sin drenaje o agua entubada, permitiendo un discurso anclado a la realidad de los barrios populares y la periferia</w:t>
      </w:r>
      <w:r>
        <w:t>.</w:t>
      </w:r>
    </w:p>
    <w:p w14:paraId="7B6A98C6" w14:textId="0AA31D71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Uso del Coeficiente de Gini:</w:t>
      </w:r>
      <w:r w:rsidRPr="00B9340E">
        <w:t xml:space="preserve"> El sistema integra el valor histórico de </w:t>
      </w:r>
      <w:r w:rsidRPr="00B9340E">
        <w:rPr>
          <w:b/>
          <w:bCs/>
        </w:rPr>
        <w:t>0.417</w:t>
      </w:r>
      <w:r w:rsidRPr="00B9340E">
        <w:t xml:space="preserve"> para medir la desigualdad salarial en Taxco, permitiendo proponer políticas de redistribución de riqueza con base científica.</w:t>
      </w:r>
    </w:p>
    <w:p w14:paraId="4373DEF6" w14:textId="77777777" w:rsidR="00B9340E" w:rsidRPr="00B9340E" w:rsidRDefault="00B9340E" w:rsidP="00B9340E">
      <w:r w:rsidRPr="00B9340E">
        <w:t>3. Enfoque de Género: Conexión con el Electorado Dominante</w:t>
      </w:r>
    </w:p>
    <w:p w14:paraId="4F3D6719" w14:textId="1BF00680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Predominancia Femenina:</w:t>
      </w:r>
      <w:r w:rsidRPr="00B9340E">
        <w:t xml:space="preserve"> El sistema revela que la </w:t>
      </w:r>
      <w:r w:rsidRPr="00B9340E">
        <w:rPr>
          <w:b/>
          <w:bCs/>
        </w:rPr>
        <w:t>Lista Nominal de Taxco es predominantemente femenina</w:t>
      </w:r>
      <w:r w:rsidRPr="00B9340E">
        <w:t>. Al cruzar estos datos con estadísticas de salud (donde las mujeres representaron el 42% de las defunciones en 2020), la aspirante puede diseñar programas de igualdad y salud pública que respondan a las necesidades reales de su sector más fuerte</w:t>
      </w:r>
      <w:r>
        <w:t>.</w:t>
      </w:r>
    </w:p>
    <w:p w14:paraId="01A8FADC" w14:textId="77777777" w:rsidR="00B9340E" w:rsidRPr="00B9340E" w:rsidRDefault="00B9340E" w:rsidP="00B9340E">
      <w:r w:rsidRPr="00B9340E">
        <w:t>4. Blindaje Institucional y Cumplimiento de Normativa</w:t>
      </w:r>
    </w:p>
    <w:p w14:paraId="4AAC760E" w14:textId="77777777" w:rsidR="00B9340E" w:rsidRPr="00B9340E" w:rsidRDefault="00B9340E" w:rsidP="00B9340E">
      <w:r w:rsidRPr="00B9340E">
        <w:lastRenderedPageBreak/>
        <w:t xml:space="preserve">• </w:t>
      </w:r>
      <w:r w:rsidRPr="00B9340E">
        <w:rPr>
          <w:b/>
          <w:bCs/>
        </w:rPr>
        <w:t>Auditoría y Verdad de Datos:</w:t>
      </w:r>
      <w:r w:rsidRPr="00B9340E">
        <w:t xml:space="preserve"> El sistema implementa protocolos para detectar inconsistencias (como la sección 2173 con participación atípica), garantizando que la información sea </w:t>
      </w:r>
      <w:r w:rsidRPr="00B9340E">
        <w:rPr>
          <w:b/>
          <w:bCs/>
        </w:rPr>
        <w:t>confiable para la toma de decisiones</w:t>
      </w:r>
      <w:r w:rsidRPr="00B9340E">
        <w:t>9.</w:t>
      </w:r>
    </w:p>
    <w:p w14:paraId="5539D067" w14:textId="77777777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Alineación al Presupuesto basado en Resultados (</w:t>
      </w:r>
      <w:proofErr w:type="spellStart"/>
      <w:r w:rsidRPr="00B9340E">
        <w:rPr>
          <w:b/>
          <w:bCs/>
        </w:rPr>
        <w:t>PbR</w:t>
      </w:r>
      <w:proofErr w:type="spellEnd"/>
      <w:r w:rsidRPr="00B9340E">
        <w:rPr>
          <w:b/>
          <w:bCs/>
        </w:rPr>
        <w:t>):</w:t>
      </w:r>
      <w:r w:rsidRPr="00B9340E">
        <w:t xml:space="preserve"> La plataforma prepara a la aspirante para cumplir con las recomendaciones de la </w:t>
      </w:r>
      <w:r w:rsidRPr="00B9340E">
        <w:rPr>
          <w:b/>
          <w:bCs/>
        </w:rPr>
        <w:t>Auditoría Superior del Estado (ASE)</w:t>
      </w:r>
      <w:r w:rsidRPr="00B9340E">
        <w:t xml:space="preserve"> y los </w:t>
      </w:r>
      <w:r w:rsidRPr="00B9340E">
        <w:rPr>
          <w:b/>
          <w:bCs/>
        </w:rPr>
        <w:t>Objetivos de Desarrollo Sostenible (ODS)</w:t>
      </w:r>
      <w:r w:rsidRPr="00B9340E">
        <w:t>, vinculando el gasto público proyectado (como los $203.7 MDP para obra pública) con las metas de bienestar social7....</w:t>
      </w:r>
    </w:p>
    <w:p w14:paraId="25FCD224" w14:textId="77777777" w:rsidR="00B9340E" w:rsidRPr="00B9340E" w:rsidRDefault="00B9340E" w:rsidP="00B9340E">
      <w:r w:rsidRPr="00B9340E">
        <w:t>5. Medición del Sentimiento Social (ISC)</w:t>
      </w:r>
    </w:p>
    <w:p w14:paraId="6F1676EF" w14:textId="396B5C36" w:rsidR="00B9340E" w:rsidRPr="00B9340E" w:rsidRDefault="00B9340E" w:rsidP="00B9340E">
      <w:r w:rsidRPr="00B9340E">
        <w:t xml:space="preserve">• </w:t>
      </w:r>
      <w:r w:rsidRPr="00B9340E">
        <w:rPr>
          <w:b/>
          <w:bCs/>
        </w:rPr>
        <w:t>Satisfacción Ciudadana:</w:t>
      </w:r>
      <w:r w:rsidRPr="00B9340E">
        <w:t xml:space="preserve"> El sistema está diseñado para integrar encuestas de satisfacción sobre servicios críticos (basura, agua, alumbrado), resolviendo la carencia histórica de instrumentos para medir el pulso social señalada por la ASE15.</w:t>
      </w:r>
    </w:p>
    <w:p w14:paraId="4BDD9015" w14:textId="1E028A35" w:rsidR="00B9340E" w:rsidRPr="00B9340E" w:rsidRDefault="00B9340E" w:rsidP="00B9340E">
      <w:r w:rsidRPr="00B9340E">
        <w:rPr>
          <w:b/>
          <w:bCs/>
        </w:rPr>
        <w:t>Conclusión del Asesor:</w:t>
      </w:r>
      <w:r w:rsidRPr="00B9340E">
        <w:t xml:space="preserve"> Bajo la guía del </w:t>
      </w:r>
      <w:r w:rsidRPr="00B9340E">
        <w:rPr>
          <w:b/>
          <w:bCs/>
        </w:rPr>
        <w:t>Lic. Herminio</w:t>
      </w:r>
      <w:r w:rsidRPr="00B9340E">
        <w:t xml:space="preserve">, este sistema no es solo una base de datos, sino un </w:t>
      </w:r>
      <w:r w:rsidRPr="00B9340E">
        <w:rPr>
          <w:b/>
          <w:bCs/>
        </w:rPr>
        <w:t>Manual de Vuelo Estratégico</w:t>
      </w:r>
      <w:r w:rsidRPr="00B9340E">
        <w:t xml:space="preserve">. Proporciona a la </w:t>
      </w:r>
      <w:proofErr w:type="spellStart"/>
      <w:r>
        <w:rPr>
          <w:b/>
          <w:bCs/>
        </w:rPr>
        <w:t>Dip</w:t>
      </w:r>
      <w:proofErr w:type="spellEnd"/>
      <w:r w:rsidRPr="00B9340E">
        <w:rPr>
          <w:b/>
          <w:bCs/>
        </w:rPr>
        <w:t>. Obdulia Naranjo Cabrera</w:t>
      </w:r>
      <w:r w:rsidRPr="00B9340E">
        <w:t xml:space="preserve"> una legitimidad técnica y una capacidad de respuesta que ningún otro aspirante posee, transformando la política de promesas en una </w:t>
      </w:r>
      <w:r w:rsidRPr="00B9340E">
        <w:rPr>
          <w:b/>
          <w:bCs/>
        </w:rPr>
        <w:t>gestión de resultados medibles y auditables</w:t>
      </w:r>
      <w:r w:rsidRPr="00B9340E">
        <w:t xml:space="preserve"> para el pueblo de Taxco.</w:t>
      </w:r>
    </w:p>
    <w:p w14:paraId="39EFCA25" w14:textId="77777777" w:rsidR="00A96E80" w:rsidRDefault="00A96E80"/>
    <w:sectPr w:rsidR="00A96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0E"/>
    <w:rsid w:val="002F3924"/>
    <w:rsid w:val="00A57F9E"/>
    <w:rsid w:val="00A96E80"/>
    <w:rsid w:val="00B9340E"/>
    <w:rsid w:val="00FA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3A59"/>
  <w15:chartTrackingRefBased/>
  <w15:docId w15:val="{B9113CA8-3D11-452B-8F7F-9E4CFD04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4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4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4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1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494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vladimir</dc:creator>
  <cp:keywords/>
  <dc:description/>
  <cp:lastModifiedBy>yasser vladimir</cp:lastModifiedBy>
  <cp:revision>1</cp:revision>
  <dcterms:created xsi:type="dcterms:W3CDTF">2026-02-12T21:16:00Z</dcterms:created>
  <dcterms:modified xsi:type="dcterms:W3CDTF">2026-02-12T21:23:00Z</dcterms:modified>
</cp:coreProperties>
</file>