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 AND STABILITY PATHWAYS ACT</w:t>
      </w:r>
    </w:p>
    <w:p>
      <w:pPr>
        <w:pStyle w:val="Subtitle"/>
      </w:pPr>
      <w:r>
        <w:t>Legislative policy proposal  |  October 25, 2026</w:t>
      </w:r>
    </w:p>
    <w:p>
      <w:r>
        <w:t>Prepared by Blair Page</w:t>
      </w:r>
    </w:p>
    <w:p>
      <w:pPr>
        <w:pStyle w:val="Heading1"/>
      </w:pPr>
      <w:r>
        <w:t>Executive recommendation</w:t>
      </w:r>
    </w:p>
    <w:p>
      <w:r>
        <w:t>Establish a voluntary, work-centered and needs-based homelessness response that restores earning capacity where feasible, prevents avoidable housing loss, and directs clinical care only where clinically indicated. Homelessness must not be treated as a presumptive mental-health diagnosis. Require documented barrier-specific referrals, separate accounting for clinical and nonclinical spending, disability protections, and independently measured housing and income outcomes.</w:t>
      </w:r>
    </w:p>
    <w:p>
      <w:pPr>
        <w:pStyle w:val="Heading1"/>
      </w:pPr>
      <w:r>
        <w:t>1. Legislative findings and purpose</w:t>
      </w:r>
    </w:p>
    <w:p>
      <w:pPr>
        <w:pStyle w:val="ListBullet"/>
      </w:pPr>
      <w:r>
        <w:t>Homelessness is not a diagnosis or a reliable measure of motivation. It may follow job loss, rent increases, family disruption, illness, disability, or several causes at once.</w:t>
      </w:r>
    </w:p>
    <w:p>
      <w:pPr>
        <w:pStyle w:val="ListBullet"/>
      </w:pPr>
      <w:r>
        <w:t>Neither a housing-only approach nor a mandatory-treatment-first approach adequately describes every person’s needs. Housing stability, paid employment, medical care, and behavioral health services may be simultaneous rather than sequential interventions.</w:t>
      </w:r>
    </w:p>
    <w:p>
      <w:pPr>
        <w:pStyle w:val="ListBullet"/>
      </w:pPr>
      <w:r>
        <w:t>For work-ready individuals, rapid access to income and housing assistance may prevent prolonged homelessness. For people with disabilities or serious illness, successful stabilization may require income supports, accessible housing, and appropriate care rather than an employment mandate.</w:t>
      </w:r>
    </w:p>
    <w:p>
      <w:pPr>
        <w:pStyle w:val="ListBullet"/>
      </w:pPr>
      <w:r>
        <w:t>The purpose of this Act is to reduce repeat homelessness and increase durable stability while protecting civil rights, informed consent, and fair access to services.</w:t>
      </w:r>
    </w:p>
    <w:p>
      <w:pPr>
        <w:pStyle w:val="Heading1"/>
      </w:pPr>
      <w:r>
        <w:t>2. Program design and eligibility</w:t>
      </w:r>
    </w:p>
    <w:p>
      <w:r>
        <w:t>The administering agency shall offer a single, low-barrier intake to people experiencing homelessness or at imminent risk. Enrollment shall not depend on a criminal-history presumption, sobriety pledge, treatment acceptance, or proof of employability. Staff shall first address immediate safety, food, shelter access, identification, and urgent medical needs. A written assessment shall document the person’s stated goals, employment experience, functional limitations, transportation, childcare, housing costs, benefits eligibility, and requested accommodations.</w:t>
      </w:r>
    </w:p>
    <w:p>
      <w:r>
        <w:t>Participants may enter or move among three nonexclusive pathways: (A) immediate employment and income restoration; (B) supported employment, training, and barrier reduction; and (C) disability, health, and long-term stability supports. Housing assistance may be provided in every pathway. Movement between pathways shall not cause automatic termination of assistance.</w:t>
      </w:r>
    </w:p>
    <w:p>
      <w:pPr>
        <w:pStyle w:val="Heading1"/>
      </w:pPr>
      <w:r>
        <w:t>3. Service standards and proposed timeline</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r>
              <w:t>Period</w:t>
            </w:r>
          </w:p>
        </w:tc>
        <w:tc>
          <w:tcPr>
            <w:tcW w:type="dxa" w:w="3216"/>
          </w:tcPr>
          <w:p>
            <w:r>
              <w:t>Milestone</w:t>
            </w:r>
          </w:p>
        </w:tc>
        <w:tc>
          <w:tcPr>
            <w:tcW w:type="dxa" w:w="3216"/>
          </w:tcPr>
          <w:p>
            <w:r>
              <w:t>Required offer</w:t>
            </w:r>
          </w:p>
        </w:tc>
      </w:tr>
      <w:tr>
        <w:tc>
          <w:tcPr>
            <w:tcW w:type="dxa" w:w="3216"/>
          </w:tcPr>
          <w:p>
            <w:r>
              <w:t>0–7 days</w:t>
            </w:r>
          </w:p>
        </w:tc>
        <w:tc>
          <w:tcPr>
            <w:tcW w:type="dxa" w:w="3216"/>
          </w:tcPr>
          <w:p>
            <w:r>
              <w:t>Safety and access</w:t>
            </w:r>
          </w:p>
        </w:tc>
        <w:tc>
          <w:tcPr>
            <w:tcW w:type="dxa" w:w="3216"/>
          </w:tcPr>
          <w:p>
            <w:r>
              <w:t>Offer shelter or safe interim placement, basic necessities, identification assistance, and a voluntary assessment.</w:t>
            </w:r>
          </w:p>
        </w:tc>
      </w:tr>
      <w:tr>
        <w:tc>
          <w:tcPr>
            <w:tcW w:type="dxa" w:w="3216"/>
          </w:tcPr>
          <w:p>
            <w:r>
              <w:t>8–30 days</w:t>
            </w:r>
          </w:p>
        </w:tc>
        <w:tc>
          <w:tcPr>
            <w:tcW w:type="dxa" w:w="3216"/>
          </w:tcPr>
          <w:p>
            <w:r>
              <w:t>Individual action plan</w:t>
            </w:r>
          </w:p>
        </w:tc>
        <w:tc>
          <w:tcPr>
            <w:tcW w:type="dxa" w:w="3216"/>
          </w:tcPr>
          <w:p>
            <w:r>
              <w:t>Offer job matching or paid transitional work when appropriate; connect others with treatment, benefits, and accommodations. Begin housing navigation.</w:t>
            </w:r>
          </w:p>
        </w:tc>
      </w:tr>
      <w:tr>
        <w:tc>
          <w:tcPr>
            <w:tcW w:type="dxa" w:w="3216"/>
          </w:tcPr>
          <w:p>
            <w:r>
              <w:t>31–90 days</w:t>
            </w:r>
          </w:p>
        </w:tc>
        <w:tc>
          <w:tcPr>
            <w:tcW w:type="dxa" w:w="3216"/>
          </w:tcPr>
          <w:p>
            <w:r>
              <w:t>Retention and adjustments</w:t>
            </w:r>
          </w:p>
        </w:tc>
        <w:tc>
          <w:tcPr>
            <w:tcW w:type="dxa" w:w="3216"/>
          </w:tcPr>
          <w:p>
            <w:r>
              <w:t>Review wages, job fit, transportation, childcare, health barriers, and housing affordability; modify services based on evidence.</w:t>
            </w:r>
          </w:p>
        </w:tc>
      </w:tr>
      <w:tr>
        <w:tc>
          <w:tcPr>
            <w:tcW w:type="dxa" w:w="3216"/>
          </w:tcPr>
          <w:p>
            <w:r>
              <w:t>3–6 months</w:t>
            </w:r>
          </w:p>
        </w:tc>
        <w:tc>
          <w:tcPr>
            <w:tcW w:type="dxa" w:w="3216"/>
          </w:tcPr>
          <w:p>
            <w:r>
              <w:t>Mobility and housing</w:t>
            </w:r>
          </w:p>
        </w:tc>
        <w:tc>
          <w:tcPr>
            <w:tcW w:type="dxa" w:w="3216"/>
          </w:tcPr>
          <w:p>
            <w:r>
              <w:t>Support permanent job transitions, apprenticeships, training, rent stabilization, and benefits coordination.</w:t>
            </w:r>
          </w:p>
        </w:tc>
      </w:tr>
      <w:tr>
        <w:tc>
          <w:tcPr>
            <w:tcW w:type="dxa" w:w="3216"/>
          </w:tcPr>
          <w:p>
            <w:r>
              <w:t>6–12 months</w:t>
            </w:r>
          </w:p>
        </w:tc>
        <w:tc>
          <w:tcPr>
            <w:tcW w:type="dxa" w:w="3216"/>
          </w:tcPr>
          <w:p>
            <w:r>
              <w:t>Durability review</w:t>
            </w:r>
          </w:p>
        </w:tc>
        <w:tc>
          <w:tcPr>
            <w:tcW w:type="dxa" w:w="3216"/>
          </w:tcPr>
          <w:p>
            <w:r>
              <w:t>Evaluate housing retention, repeat homelessness, income adequacy, and participant-defined stability; continue support where needed.</w:t>
            </w:r>
          </w:p>
        </w:tc>
      </w:tr>
    </w:tbl>
    <w:p>
      <w:r>
        <w:t>These are agency service deadlines and review points, not deadlines imposed on individuals to become employed, sober, or housed.</w:t>
      </w:r>
    </w:p>
    <w:p>
      <w:pPr>
        <w:pStyle w:val="Heading1"/>
      </w:pPr>
      <w:r>
        <w:t>4. Employment and employer partnerships</w:t>
      </w:r>
    </w:p>
    <w:p>
      <w:r>
        <w:t>The agency shall competitively contract with workforce boards, employers, apprenticeship sponsors, and qualified community providers to deliver wage-paying work opportunities, skills assessments, credential recognition, interview preparation, and placement services. Participants shall receive applicable minimum wages, worker protections, and reasonable accommodations. No participant shall be compelled to perform unpaid labor in exchange for shelter. Programs shall prioritize jobs with feasible transportation and realistic net income after childcare and other work expenses.</w:t>
      </w:r>
    </w:p>
    <w:p>
      <w:pPr>
        <w:pStyle w:val="Heading1"/>
      </w:pPr>
      <w:r>
        <w:t>5. Housing, treatment, and disability safeguards</w:t>
      </w:r>
    </w:p>
    <w:p>
      <w:pPr>
        <w:pStyle w:val="ListBullet"/>
      </w:pPr>
      <w:r>
        <w:t>Maintain emergency shelter and housing navigation without blanket work or sobriety conditions; coordinate rental assistance, landlord mediation, and eviction prevention where available.</w:t>
      </w:r>
    </w:p>
    <w:p>
      <w:pPr>
        <w:pStyle w:val="ListBullet"/>
      </w:pPr>
      <w:r>
        <w:t>Offer clinically indicated mental health and substance-use treatment through qualified providers, with informed consent except where existing law authorizes emergency intervention. A relapse alone shall not automatically terminate housing assistance.</w:t>
      </w:r>
    </w:p>
    <w:p>
      <w:pPr>
        <w:pStyle w:val="ListBullet"/>
      </w:pPr>
      <w:r>
        <w:t>Provide screening and referral for disability benefits, vocational rehabilitation, accessible housing, and supported decision-making. Disability status or inability to work shall not be treated as program failure.</w:t>
      </w:r>
    </w:p>
    <w:p>
      <w:pPr>
        <w:pStyle w:val="ListBullet"/>
      </w:pPr>
      <w:r>
        <w:t>Provide written decisions, reasonable accommodations, language access, grievance procedures, and an independent appeal process for adverse eligibility or service decisions. Protect confidential health and employment data.</w:t>
      </w:r>
    </w:p>
    <w:p>
      <w:pPr>
        <w:pStyle w:val="Heading1"/>
      </w:pPr>
      <w:r>
        <w:t>6. Distinguish housing instability from behavioral-health need</w:t>
      </w:r>
    </w:p>
    <w:p>
      <w:pPr/>
      <w:r>
        <w:t>The Legislature finds that homelessness is a housing and economic status, not a psychiatric diagnosis. A person may be unhoused without a mental illness or substance-use disorder; conversely, a person with such a condition may also need employment, income, safety, or housing assistance. Program eligibility, case assignment, and spending decisions must therefore be based on documented individual needs, not on the fact of homelessness alone.</w:t>
      </w:r>
    </w:p>
    <w:p>
      <w:pPr/>
      <w:r>
        <w:t>Nonclinical barriers that may independently cause or prolong homelessness include layoffs, seasonal or reduced-hour work, delayed first paychecks, wage levels below local rents, rent increases, eviction filings, security deposits, utility arrears, damaged credit, application fees, missing identification, lack of a mailing address, transportation breakdowns, childcare gaps, caregiving responsibilities, domestic violence, family separation, discrimination, inaccessible housing, loss of benefits, bureaucratic delays, and disasters. Multiple barriers may overlap; none establishes a mental-health diagnosis.</w:t>
      </w:r>
    </w:p>
    <w:p>
      <w:pPr/>
      <w:r>
        <w:t>An administering agency shall not require a behavioral-health screening result, treatment enrollment, sobriety certification, or psychiatric label as a prerequisite to employment assistance, emergency shelter, housing navigation, or nonclinical financial stabilization. Clinically appropriate care shall remain available promptly and without stigma. No provider shall infer clinical need solely from homelessness or allocate restricted treatment dollars to unrelated services.</w:t>
      </w:r>
    </w:p>
    <w:p>
      <w:pPr>
        <w:pStyle w:val="Heading1"/>
      </w:pPr>
      <w:r>
        <w:t>7. Barrier-specific service matching and spending integrity</w:t>
      </w:r>
    </w:p>
    <w:p>
      <w:pPr/>
      <w:r>
        <w:t>At intake, staff shall document the participant’s stated goal, immediate safety needs, housing affordability gap, current and potential earnings, work history, transportation, caregiving obligations, documentation status, accessibility needs, and any voluntarily disclosed health-related support needs. Clinical assessment shall be performed only by qualified personnel where appropriate. Participants may decline nonemergency clinical services without losing access to unrelated assistance, subject to otherwise applicable law.</w:t>
      </w:r>
    </w:p>
    <w:p>
      <w:pPr/>
      <w:r>
        <w:t>Each proposed expenditure shall identify a verified barrier, the service selected to address it, an expected outcome, and a follow-up date. Examples include a deposit grant for a worker who can afford ongoing rent, bus passes for a new hire, replacement identification to clear onboarding, childcare support for a parent starting work, legal aid to prevent an avoidable eviction, and supported employment for someone whose disability requires accommodations. These are alternatives to—not disguised expenditures from—mental-health treatment budgets.</w:t>
      </w:r>
    </w:p>
    <w:p>
      <w:pPr/>
      <w:r>
        <w:t>The agency shall publish separate, auditable spending categories for (a) housing prevention and stabilization, (b) workforce and earned-income services, (c) disability access and benefits navigation, (d) clinical mental-health and substance-use services, and (e) administration. Transfers between categories shall require written legal authority, a documented need, and public reporting. Federal grant restrictions and medical privacy protections remain controlling.</w:t>
      </w:r>
    </w:p>
    <w:p>
      <w:pPr>
        <w:pStyle w:val="Heading1"/>
      </w:pPr>
      <w:r>
        <w:t>8. Safeguards against institutional misclassification</w:t>
      </w:r>
    </w:p>
    <w:p>
      <w:pPr/>
      <w:r>
        <w:t>No person shall be labeled treatment-resistant, noncompliant, or unwilling to work solely because of homelessness, unemployment, inability to obtain childcare, refusal of an unsuitable job, or inability to meet an arbitrary timeline. Assessments must distinguish an unavailable job from an inability to work and a housing affordability problem from a behavioral-health problem. A person who can work but cannot secure rent at prevailing wages should receive an affordability intervention, not an automatic clinical referral.</w:t>
      </w:r>
    </w:p>
    <w:p>
      <w:pPr/>
      <w:r>
        <w:t>Performance contracts shall not reward providers for maximizing psychiatric referrals, treatment enrollment, or the number of people classified as disabled. Instead, contracts shall reward verified resolution of the barriers identified by participants, durable housing outcomes, voluntary service engagement, and appropriate employment or benefits outcomes. Agencies shall audit referral patterns and allow correction of inaccurate records.</w:t>
      </w:r>
    </w:p>
    <w:p>
      <w:pPr>
        <w:pStyle w:val="Heading1"/>
      </w:pPr>
      <w:r>
        <w:t>9. Fiscal test: avoid substituting costly crisis care for housing solutions</w:t>
      </w:r>
    </w:p>
    <w:p>
      <w:pPr/>
      <w:r>
        <w:t>A $45,000 psychiatric-hold figure must not be presented as a typical per-hold cost. A 2026 Peterson–KFF analysis of 2023 commercially insured admissions reported an average total cost of $15,900 for an inpatient mental-health admission. Three such admissions would total $47,700. Separately, a 2025 peer-reviewed analysis estimated direct emergency-department and hospital costs attributable to an involuntary psychiatric detention at approximately $1,663–$4,241 in 2022 dollars under its assumptions. The two figures describe different populations and scopes of service; neither is a universal price for a hold. [1][2]</w:t>
      </w:r>
    </w:p>
    <w:p>
      <w:pPr/>
      <w:r>
        <w:t>Illustrative budget comparison—not a forecast or a proposed clinical restriction: $45,000 could finance 12 months of rental support at $1,500 per month ($18,000), plus $6,000 for deposits, moving and documentation, $8,000 for employment and transportation services, and $5,000 for case coordination, leaving $8,000 for contingencies or other eligible services. Actual program costs, eligibility and permissible funding uses must be locally verified. This example does not imply that a person in psychiatric crisis should be denied medically necessary emergency care.</w:t>
      </w:r>
    </w:p>
    <w:p>
      <w:pPr/>
      <w:r>
        <w:t>Legislative requirement: Before adopting any high-cost intervention as a homelessness strategy, the administering agency shall distinguish (a) clinically necessary care from (b) expenditures intended primarily to resolve housing instability. It shall report the cost of repeated crisis episodes alongside the cost and outcomes of suitable housing, rental prevention, workforce and community-based support options, without conditioning medical treatment on a cheaper alternative.</w:t>
      </w:r>
    </w:p>
    <w:p>
      <w:pPr>
        <w:pStyle w:val="Heading1"/>
      </w:pPr>
      <w:r>
        <w:t>10. Evidence that different barriers require different interventions</w:t>
      </w:r>
    </w:p>
    <w:p>
      <w:pPr/>
      <w:r>
        <w:t>Federal materials citing the California Statewide Study of People Experiencing Homelessness report that 89% of respondents identified inability to afford housing as a barrier to exiting homelessness, while 12% cited lost or reduced income as the reason for leaving their last housing and 4% cited their own substance use. These are survey findings for that study, not national causal percentages. [3]</w:t>
      </w:r>
    </w:p>
    <w:p>
      <w:pPr/>
      <w:r>
        <w:t>KFF analysis of HUD’s 2025 point-in-time data reports serious mental illness among about 24% of adults experiencing homelessness and substance-use disorder among about 18%; the categories overlap and the point-in-time measure has limitations. The implication is not that mental-health services are unnecessary, but that automatic clinical assignment would mismatch services for many people. [4]</w:t>
      </w:r>
    </w:p>
    <w:p>
      <w:pPr/>
      <w:r>
        <w:t>A randomized Denver supportive-housing study found increased office-based psychiatric care and fewer emergency-department visits in the intervention group, illustrating that stable housing and clinical treatment can complement each other rather than compete for first place. [5]</w:t>
      </w:r>
    </w:p>
    <w:p>
      <w:pPr>
        <w:pStyle w:val="Heading1"/>
      </w:pPr>
      <w:r>
        <w:t>11. Statutory fiscal and civil-rights guardrails</w:t>
      </w:r>
    </w:p>
    <w:p>
      <w:pPr/>
      <w:r>
        <w:t>“An agency shall not classify a person as requiring psychiatric intervention solely because the person lacks housing. Clinical services shall be based on individualized professional assessment and applicable law. No provision of this Act shall restrict emergency evaluation, medically necessary care, disability accommodations, or legally required due process.”</w:t>
      </w:r>
    </w:p>
    <w:p>
      <w:pPr/>
      <w:r>
        <w:t>“The administering agency shall publish, at least annually, separate costs and outcomes for rental assistance, eviction prevention, employment supports, disability supports, voluntary treatment, emergency psychiatric evaluations, and inpatient admissions, where lawful and practicable. Reports shall distinguish billed charges from paid amounts, avoid double counting, and identify whether expenditure comparisons involve equivalent populations and time periods.”</w:t>
      </w:r>
    </w:p>
    <w:p>
      <w:pPr/>
      <w:r>
        <w:t>“Program evaluation shall measure housing stability, income, participant choice, health outcomes and repeat crisis utilization, including adverse outcomes. Cost savings shall not be presumed, and no provider shall be rewarded for denying necessary care or shifting costs to another agency.”</w:t>
      </w:r>
    </w:p>
    <w:p>
      <w:pPr>
        <w:pStyle w:val="Heading1"/>
      </w:pPr>
      <w:r>
        <w:t>12. Proposed legislative language</w:t>
      </w:r>
    </w:p>
    <w:p>
      <w:pPr/>
      <w:r>
        <w:t>“Homelessness or imminent homelessness, standing alone, shall not constitute evidence of mental illness, substance-use disorder, incapacity, or unwillingness to work. The administering agency shall provide an individualized, barrier-based assessment and shall offer services proportionate to identified needs. A person shall not be required to accept behavioral-health treatment as a universal condition of accessing nonclinical housing stabilization or employment services, except as specifically authorized by applicable law. Funds appropriated for clinical services shall be expended only for legally permissible clinical purposes. The agency shall separately report nonclinical and clinical referrals, expenditures, participant outcomes, and complaints concerning misclassification.”</w:t>
      </w:r>
    </w:p>
    <w:p>
      <w:pPr>
        <w:pStyle w:val="Heading1"/>
      </w:pPr>
      <w:r>
        <w:t>13. Accountability and evaluation</w:t>
      </w:r>
    </w:p>
    <w:p>
      <w:r>
        <w:t>Require quarterly public reporting, disaggregated where lawful and statistically appropriate, on: (1) housing retention at 6 and 12 months; (2) returns to homelessness; (3) paid job placement and retention at 90 and 180 days; (4) earnings relative to local housing costs; (5) benefit access; (6) voluntary treatment access and continuity; (7) participant satisfaction and grievances; and (8) per-participant public cost. Employment metrics shall apply only to participants for whom employment is an appropriate goal. Avoid counting service attendance as an outcome.</w:t>
      </w:r>
    </w:p>
    <w:p>
      <w:r>
        <w:t>An independent evaluator should compare the pilot with existing services using a pre-registered evaluation plan, matched comparison groups or another credible design, and transparent limitations. Require a legislative hearing at 12 months and an expansion decision after at least 24 months of outcome data.</w:t>
      </w:r>
    </w:p>
    <w:p>
      <w:pPr>
        <w:pStyle w:val="Heading1"/>
      </w:pPr>
      <w:r>
        <w:t>14. Funding, implementation, and fiscal controls</w:t>
      </w:r>
    </w:p>
    <w:p>
      <w:r>
        <w:t>Authorize a two-year competitive demonstration with appropriations set by the legislature after a fiscal note. Permit braided funding only where federal and state grant conditions allow; do not assume funds restricted to housing or treatment can be repurposed. Reserve funds for direct participant assistance, workforce services, disability navigation, data protection, and independent evaluation. Require contracts to disclose unit costs and prohibit payment structures that reward providers for screening out high-need participants.</w:t>
      </w:r>
    </w:p>
    <w:p>
      <w:r>
        <w:t>Within 90 days of enactment, the administering agency should publish eligibility and procurement rules; within 180 days, award pilot contracts; within 270 days, begin service delivery. Sunset new pilot authority after 36 months unless renewed following legislative review.</w:t>
      </w:r>
    </w:p>
    <w:p>
      <w:pPr>
        <w:pStyle w:val="Heading1"/>
      </w:pPr>
      <w:r>
        <w:t>15. Additional statutory direction</w:t>
      </w:r>
    </w:p>
    <w:p>
      <w:r>
        <w:t>“The State shall establish an individualized homelessness stabilization demonstration that coordinates immediate safety, housing assistance, paid employment opportunities, treatment access, and disability supports according to assessed needs and participant choice. No person shall be categorically denied emergency shelter solely for unemployment, disability, refusal of nonemergency treatment, or failure to maintain sobriety. The administering agency shall establish measurable service standards, protect due process, and report independently verified outcomes to the Legislature.”</w:t>
      </w:r>
    </w:p>
    <w:p>
      <w:pPr>
        <w:pStyle w:val="Heading1"/>
      </w:pPr>
      <w:r>
        <w:t>Legislative decision requested</w:t>
      </w:r>
    </w:p>
    <w:p>
      <w:r>
        <w:t>Sponsor a bill directing the responsible state agency to develop the demonstration, prepare a formal fiscal note, consult employers, disability advocates, housing providers, clinicians, and people with lived experience of homelessness, and return to the Legislature with implementation rules and an evaluation design. The proposal is intended as a practical alternative to rigid “first” mandates—not as a repeal of evidence-supported housing assistance.</w:t>
      </w:r>
    </w:p>
    <w:p>
      <w:pPr>
        <w:pStyle w:val="Heading1"/>
      </w:pPr>
      <w:r>
        <w:t>Evidence and drafting notes</w:t>
      </w:r>
    </w:p>
    <w:p>
      <w:r>
        <w:t>Evidence informing the proposal includes the U.S. Interagency Council on Homelessness, “The Evidence Behind Approaches that Drive an End to Homelessness” (usich.gov); HUD, “Housing First in Permanent Supportive Housing” and related program guidance (hud.gov); and U.S. Department of Labor, Workforce Innovation and Opportunity Act resources (dol.gov/agencies/eta/wioa). These sources support attention to housing stability, individualized services, and employment systems; they do not establish that this proposed pilot is superior. State-specific legal and budget review is required before introduction.</w:t>
      </w:r>
    </w:p>
    <w:p>
      <w:pPr>
        <w:spacing w:after="100"/>
      </w:pPr>
      <w:r>
        <w:t>[1] Peterson–KFF Health System Tracker, “Cost and utilization of inpatient mental health and substance use treatment” (2026): https://www.healthsystemtracker.org/brief/cost-and-utilization-of-inpatient-mental-health-and-substance-use-treatment/</w:t>
      </w:r>
    </w:p>
    <w:p>
      <w:pPr>
        <w:spacing w:after="100"/>
      </w:pPr>
      <w:r>
        <w:t>[2] Nature Human Behaviour, “Emergency mental health co-responders reduce involuntary psychiatric detentions in the USA” (2025): https://www.nature.com/articles/s41562-025-02339-7</w:t>
      </w:r>
    </w:p>
    <w:p>
      <w:pPr>
        <w:spacing w:after="100"/>
      </w:pPr>
      <w:r>
        <w:t>[3] U.S. Interagency Council on Homelessness, “Federal Resources for Addressing the Behavioral Health Needs of People Experiencing or at Risk of Homelessness” (2024): https://www.usich.gov/sites/default/files/document/Federal%20Resources%20for%20Addressing%20the%20Behavioral%20Health%20Needs%20of%20People%20Experiencing%20or%20at%20Risk%20of%20Homelessness.pdf</w:t>
      </w:r>
    </w:p>
    <w:p>
      <w:pPr>
        <w:spacing w:after="100"/>
      </w:pPr>
      <w:r>
        <w:t>[4] KFF, “Five Key Facts About People Experiencing Homelessness” (2026): https://www.kff.org/medicaid/five-key-facts-about-people-experiencing-homelessness/</w:t>
      </w:r>
    </w:p>
    <w:p>
      <w:pPr>
        <w:spacing w:after="100"/>
      </w:pPr>
      <w:r>
        <w:t>[5] Health Affairs / PubMed, “Housing First Increased Psychiatric Care Office Visits And Prescriptions While Reducing Emergency Visits” (2024): https://pubmed.ncbi.nlm.nih.gov/38266198/</w:t>
      </w:r>
    </w:p>
    <w:sectPr w:rsidR="00FC693F" w:rsidRPr="0006063C" w:rsidSect="00034616">
      <w:footerReference w:type="default" r:id="rId9"/>
      <w:pgSz w:w="12240" w:h="15840"/>
      <w:pgMar w:top="1123"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Blair Page  •  Legislative Policy Proposal  •  October 25,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72E4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2E4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72E4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and Stability Pathways Act — Legislative Proposal</dc:title>
  <dc:subject/>
  <dc:creator>Blair Page</dc:creator>
  <cp:keywords/>
  <dc:description>generated by python-docx</dc:description>
  <cp:lastModifiedBy/>
  <cp:revision>1</cp:revision>
  <dcterms:created xsi:type="dcterms:W3CDTF">2013-12-23T23:15:00Z</dcterms:created>
  <dcterms:modified xsi:type="dcterms:W3CDTF">2013-12-23T23:15:00Z</dcterms:modified>
  <cp:category/>
</cp:coreProperties>
</file>