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4870DE">
      <w:pPr>
        <w:spacing w:after="40"/>
        <w:jc w:val="center"/>
        <w:rPr>
          <w:color w:val="auto"/>
        </w:rPr>
      </w:pPr>
      <w:r>
        <w:rPr>
          <w:i/>
          <w:iCs/>
          <w:color w:val="auto"/>
          <w:sz w:val="18"/>
          <w:szCs w:val="18"/>
        </w:rPr>
        <w:t>ENSIU 2026 · Producto 2 — Bloque R (Resultado)</w:t>
      </w:r>
    </w:p>
    <w:p w14:paraId="26166991">
      <w:pPr>
        <w:spacing w:after="100"/>
        <w:jc w:val="center"/>
        <w:rPr>
          <w:color w:val="auto"/>
        </w:rPr>
      </w:pPr>
      <w:r>
        <w:rPr>
          <w:b/>
          <w:bCs/>
          <w:color w:val="auto"/>
          <w:sz w:val="30"/>
          <w:szCs w:val="30"/>
        </w:rPr>
        <w:t>Guion Técnico del Clip Audiovisual (60 segundos)</w:t>
      </w:r>
    </w:p>
    <w:p w14:paraId="244DAF2E">
      <w:pPr>
        <w:spacing w:after="60"/>
        <w:jc w:val="center"/>
        <w:rPr>
          <w:color w:val="auto"/>
        </w:rPr>
      </w:pPr>
      <w:r>
        <w:rPr>
          <w:i/>
          <w:iCs/>
          <w:color w:val="auto"/>
          <w:sz w:val="22"/>
          <w:szCs w:val="22"/>
        </w:rPr>
        <w:t>Anticipar para Incluir: Inteligencia Artificial al Servicio de la Equidad Educativa</w:t>
      </w:r>
    </w:p>
    <w:p w14:paraId="5F4AFA33">
      <w:pPr>
        <w:spacing w:after="300"/>
        <w:jc w:val="center"/>
        <w:rPr>
          <w:color w:val="auto"/>
        </w:rPr>
      </w:pPr>
      <w:r>
        <w:rPr>
          <w:i/>
          <w:iCs/>
          <w:color w:val="auto"/>
          <w:sz w:val="20"/>
          <w:szCs w:val="20"/>
        </w:rPr>
        <w:t xml:space="preserve">Misión 4 — Inteligencia Artificial para la equidad · </w:t>
      </w:r>
      <w:r>
        <w:rPr>
          <w:rFonts w:hint="default"/>
          <w:i/>
          <w:iCs/>
          <w:color w:val="auto"/>
          <w:sz w:val="20"/>
          <w:szCs w:val="20"/>
          <w:lang w:val="es-CO"/>
        </w:rPr>
        <w:t>Edwin Santiago Paz Bedoya- Nathalia Orozco Morales</w:t>
      </w:r>
      <w:r>
        <w:rPr>
          <w:i/>
          <w:iCs/>
          <w:color w:val="auto"/>
          <w:sz w:val="20"/>
          <w:szCs w:val="20"/>
        </w:rPr>
        <w:t xml:space="preserve"> · UNIMINUTO</w:t>
      </w:r>
    </w:p>
    <w:p w14:paraId="06E03771">
      <w:pPr>
        <w:pStyle w:val="2"/>
        <w:spacing w:before="320" w:after="140"/>
        <w:rPr>
          <w:color w:val="auto"/>
        </w:rPr>
      </w:pPr>
      <w:r>
        <w:rPr>
          <w:b/>
          <w:bCs/>
          <w:color w:val="auto"/>
          <w:sz w:val="26"/>
          <w:szCs w:val="26"/>
        </w:rPr>
        <w:t>4.1 Concepto del producto audiovisual</w:t>
      </w:r>
    </w:p>
    <w:tbl>
      <w:tblPr>
        <w:tblStyle w:val="9"/>
        <w:tblW w:w="97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40"/>
        <w:gridCol w:w="3240"/>
        <w:gridCol w:w="3240"/>
      </w:tblGrid>
      <w:tr w14:paraId="7F8322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c>
          <w:tcPr>
            <w:tcW w:w="3240" w:type="dxa"/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A08038">
            <w:pPr>
              <w:jc w:val="center"/>
              <w:rPr>
                <w:color w:val="auto"/>
              </w:rPr>
            </w:pPr>
            <w:r>
              <w:rPr>
                <w:b/>
                <w:bCs/>
                <w:color w:val="auto"/>
                <w:sz w:val="20"/>
                <w:szCs w:val="20"/>
              </w:rPr>
              <w:t>Informar (Datos y Pertinencia)</w:t>
            </w:r>
          </w:p>
        </w:tc>
        <w:tc>
          <w:tcPr>
            <w:tcW w:w="3240" w:type="dxa"/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91E3EC">
            <w:pPr>
              <w:jc w:val="center"/>
              <w:rPr>
                <w:color w:val="auto"/>
              </w:rPr>
            </w:pPr>
            <w:r>
              <w:rPr>
                <w:b/>
                <w:bCs/>
                <w:color w:val="auto"/>
                <w:sz w:val="20"/>
                <w:szCs w:val="20"/>
              </w:rPr>
              <w:t>Atraer (Gancho y Estética)</w:t>
            </w:r>
          </w:p>
        </w:tc>
        <w:tc>
          <w:tcPr>
            <w:tcW w:w="3240" w:type="dxa"/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67A0AF">
            <w:pPr>
              <w:jc w:val="center"/>
              <w:rPr>
                <w:color w:val="auto"/>
              </w:rPr>
            </w:pPr>
            <w:r>
              <w:rPr>
                <w:b/>
                <w:bCs/>
                <w:color w:val="auto"/>
                <w:sz w:val="20"/>
                <w:szCs w:val="20"/>
              </w:rPr>
              <w:t>Convencer (Valor e Impacto Social)</w:t>
            </w:r>
          </w:p>
        </w:tc>
      </w:tr>
      <w:tr w14:paraId="34267F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E758B01">
            <w:pPr>
              <w:spacing w:after="60"/>
              <w:rPr>
                <w:color w:val="auto"/>
              </w:rPr>
            </w:pPr>
            <w:r>
              <w:rPr>
                <w:b w:val="0"/>
                <w:bCs w:val="0"/>
                <w:color w:val="auto"/>
                <w:sz w:val="20"/>
                <w:szCs w:val="20"/>
              </w:rPr>
              <w:t>Un modelo de LightGBM predice el PROMEDIO_GLOBAL de Saber Pro con R² = 0,706 (margen de error de 9,3 puntos sobre 300), entrenado con 5 años de datos abiertos del ICFES (127.716 registros).</w:t>
            </w:r>
          </w:p>
          <w:p w14:paraId="65F4D780">
            <w:pPr>
              <w:spacing w:after="0"/>
              <w:rPr>
                <w:color w:val="auto"/>
              </w:rPr>
            </w:pPr>
            <w:r>
              <w:rPr>
                <w:b w:val="0"/>
                <w:bCs w:val="0"/>
                <w:color w:val="auto"/>
                <w:sz w:val="20"/>
                <w:szCs w:val="20"/>
              </w:rPr>
              <w:t>El hallazgo clave: el error es más alto en los departamentos de menor desarrollo relativo (Sucre, Chocó, Putumayo) — ahí es donde anticiparse importa más.</w:t>
            </w:r>
          </w:p>
        </w:tc>
        <w:tc>
          <w:tcPr>
            <w:tcW w:w="32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2A425FD">
            <w:pPr>
              <w:spacing w:after="60"/>
              <w:rPr>
                <w:color w:val="auto"/>
              </w:rPr>
            </w:pPr>
            <w:r>
              <w:rPr>
                <w:b w:val="0"/>
                <w:bCs w:val="0"/>
                <w:color w:val="auto"/>
                <w:sz w:val="20"/>
                <w:szCs w:val="20"/>
              </w:rPr>
              <w:t>Concepto realista: nada de metáforas fantasiosas — un plano concreto de campus/estudiantes colombianos y, enseguida, la pantalla real de un computador.</w:t>
            </w:r>
          </w:p>
          <w:p w14:paraId="6DB1159B">
            <w:pPr>
              <w:spacing w:after="0"/>
              <w:rPr>
                <w:color w:val="auto"/>
              </w:rPr>
            </w:pPr>
            <w:r>
              <w:rPr>
                <w:b w:val="0"/>
                <w:bCs w:val="0"/>
                <w:color w:val="auto"/>
                <w:sz w:val="20"/>
                <w:szCs w:val="20"/>
              </w:rPr>
              <w:t>Abre con una secuencia breve de varios campus/pasillos universitarios colombianos distintos (genéricos, sin identificar personas ni una sola institución), recordando que el modelo aplica a programas de todo el país. Luego, corte directo a una pantalla de laptop mostrando el resultado del modelo.</w:t>
            </w:r>
          </w:p>
        </w:tc>
        <w:tc>
          <w:tcPr>
            <w:tcW w:w="32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96AD84A">
            <w:pPr>
              <w:spacing w:after="60"/>
              <w:rPr>
                <w:color w:val="auto"/>
              </w:rPr>
            </w:pPr>
            <w:r>
              <w:rPr>
                <w:b w:val="0"/>
                <w:bCs w:val="0"/>
                <w:color w:val="auto"/>
                <w:sz w:val="20"/>
                <w:szCs w:val="20"/>
              </w:rPr>
              <w:t>No es solo una cifra: es tiempo de reacción. Hoy las universidades se enteran cuando ya es tarde para actuar.</w:t>
            </w:r>
          </w:p>
          <w:p w14:paraId="167CE4D9">
            <w:pPr>
              <w:spacing w:after="0"/>
              <w:rPr>
                <w:color w:val="auto"/>
              </w:rPr>
            </w:pPr>
            <w:r>
              <w:rPr>
                <w:b w:val="0"/>
                <w:bCs w:val="0"/>
                <w:color w:val="auto"/>
                <w:sz w:val="20"/>
                <w:szCs w:val="20"/>
              </w:rPr>
              <w:t xml:space="preserve">El modelo convierte datos públicos en una alerta temprana que </w:t>
            </w:r>
            <w:r>
              <w:rPr>
                <w:rFonts w:hint="default"/>
                <w:b w:val="0"/>
                <w:bCs w:val="0"/>
                <w:color w:val="auto"/>
                <w:sz w:val="20"/>
                <w:szCs w:val="20"/>
                <w:lang w:val="es-CO"/>
              </w:rPr>
              <w:t xml:space="preserve">las universidades </w:t>
            </w:r>
            <w:r>
              <w:rPr>
                <w:b w:val="0"/>
                <w:bCs w:val="0"/>
                <w:color w:val="auto"/>
                <w:sz w:val="20"/>
                <w:szCs w:val="20"/>
              </w:rPr>
              <w:t xml:space="preserve"> puede</w:t>
            </w:r>
            <w:r>
              <w:rPr>
                <w:rFonts w:hint="default"/>
                <w:b w:val="0"/>
                <w:bCs w:val="0"/>
                <w:color w:val="auto"/>
                <w:sz w:val="20"/>
                <w:szCs w:val="20"/>
                <w:lang w:val="es-CO"/>
              </w:rPr>
              <w:t>n</w:t>
            </w:r>
            <w:r>
              <w:rPr>
                <w:b w:val="0"/>
                <w:bCs w:val="0"/>
                <w:color w:val="auto"/>
                <w:sz w:val="20"/>
                <w:szCs w:val="20"/>
              </w:rPr>
              <w:t xml:space="preserve"> dirigir primero a los programas y territorios con menos margen de error Inteligencia Artificial puesta al servicio de la equidad educativa (Misión 4).</w:t>
            </w:r>
          </w:p>
        </w:tc>
      </w:tr>
    </w:tbl>
    <w:p w14:paraId="351CFE5A">
      <w:pPr>
        <w:spacing w:before="320"/>
        <w:rPr>
          <w:color w:val="auto"/>
        </w:rPr>
      </w:pPr>
    </w:p>
    <w:p w14:paraId="614EFB5C">
      <w:pPr>
        <w:pStyle w:val="2"/>
        <w:spacing w:before="320" w:after="140"/>
        <w:rPr>
          <w:color w:val="auto"/>
        </w:rPr>
      </w:pPr>
      <w:r>
        <w:rPr>
          <w:b/>
          <w:bCs/>
          <w:color w:val="auto"/>
          <w:sz w:val="26"/>
          <w:szCs w:val="26"/>
        </w:rPr>
        <w:t>4.2 Guion técnico y estructura métrica (60 segundos estrictos)</w:t>
      </w:r>
    </w:p>
    <w:tbl>
      <w:tblPr>
        <w:tblStyle w:val="9"/>
        <w:tblW w:w="97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00"/>
        <w:gridCol w:w="4600"/>
        <w:gridCol w:w="3520"/>
      </w:tblGrid>
      <w:tr w14:paraId="5514B3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00" w:type="dxa"/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7F864B">
            <w:pPr>
              <w:jc w:val="center"/>
              <w:rPr>
                <w:color w:val="auto"/>
              </w:rPr>
            </w:pPr>
            <w:r>
              <w:rPr>
                <w:b/>
                <w:bCs/>
                <w:color w:val="auto"/>
                <w:sz w:val="20"/>
                <w:szCs w:val="20"/>
              </w:rPr>
              <w:t>Tiempo</w:t>
            </w:r>
          </w:p>
        </w:tc>
        <w:tc>
          <w:tcPr>
            <w:tcW w:w="4600" w:type="dxa"/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760F44">
            <w:pPr>
              <w:jc w:val="center"/>
              <w:rPr>
                <w:color w:val="auto"/>
              </w:rPr>
            </w:pPr>
            <w:r>
              <w:rPr>
                <w:b/>
                <w:bCs/>
                <w:color w:val="auto"/>
                <w:sz w:val="20"/>
                <w:szCs w:val="20"/>
              </w:rPr>
              <w:t>Guion Narrativo</w:t>
            </w:r>
          </w:p>
        </w:tc>
        <w:tc>
          <w:tcPr>
            <w:tcW w:w="3520" w:type="dxa"/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98E1F8">
            <w:pPr>
              <w:jc w:val="center"/>
              <w:rPr>
                <w:color w:val="auto"/>
              </w:rPr>
            </w:pPr>
            <w:r>
              <w:rPr>
                <w:b/>
                <w:bCs/>
                <w:color w:val="auto"/>
                <w:sz w:val="20"/>
                <w:szCs w:val="20"/>
              </w:rPr>
              <w:t>Propuesta Visual y Sonora (IA)</w:t>
            </w:r>
          </w:p>
        </w:tc>
      </w:tr>
      <w:tr w14:paraId="787F6C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C1425A7">
            <w:pPr>
              <w:spacing w:after="60"/>
              <w:rPr>
                <w:color w:val="auto"/>
              </w:rPr>
            </w:pPr>
            <w:r>
              <w:rPr>
                <w:b/>
                <w:bCs/>
                <w:color w:val="auto"/>
                <w:sz w:val="20"/>
                <w:szCs w:val="20"/>
              </w:rPr>
              <w:t>00–10 s</w:t>
            </w:r>
          </w:p>
          <w:p w14:paraId="0BDA81B8">
            <w:pPr>
              <w:spacing w:after="0"/>
              <w:rPr>
                <w:color w:val="auto"/>
              </w:rPr>
            </w:pPr>
            <w:r>
              <w:rPr>
                <w:b w:val="0"/>
                <w:bCs w:val="0"/>
                <w:color w:val="auto"/>
                <w:sz w:val="18"/>
                <w:szCs w:val="18"/>
              </w:rPr>
              <w:t>Gancho (Atraer)</w:t>
            </w:r>
          </w:p>
        </w:tc>
        <w:tc>
          <w:tcPr>
            <w:tcW w:w="460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6F31192">
            <w:pPr>
              <w:spacing w:after="0"/>
              <w:rPr>
                <w:color w:val="auto"/>
              </w:rPr>
            </w:pPr>
            <w:r>
              <w:rPr>
                <w:b w:val="0"/>
                <w:bCs w:val="0"/>
                <w:color w:val="auto"/>
                <w:sz w:val="20"/>
                <w:szCs w:val="20"/>
              </w:rPr>
              <w:t>"¿Y si una universidad pudiera saber, un año antes, cómo le va a ir en el Saber Pro? Hoy, con Inteligencia Artificial, ya es posible."</w:t>
            </w:r>
          </w:p>
        </w:tc>
        <w:tc>
          <w:tcPr>
            <w:tcW w:w="352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5681D3F">
            <w:pPr>
              <w:spacing w:after="0"/>
              <w:rPr>
                <w:color w:val="auto"/>
              </w:rPr>
            </w:pPr>
            <w:r>
              <w:rPr>
                <w:b w:val="0"/>
                <w:bCs w:val="0"/>
                <w:color w:val="auto"/>
                <w:sz w:val="20"/>
                <w:szCs w:val="20"/>
              </w:rPr>
              <w:t>Secuencia breve (2-3 tomas) de distintos campus o pasillos universitarios colombianos —genéricos, sin identificar personas ni una sola institución— mientras se escucha la pregunta gancho en off; la variedad deja claro que es sobre programas de todo el país, no solo de una universidad. Corte directo a la pantalla de un computador mostrando el dashboard del modelo con el resultado. Sonido: música instrumental suave con un golpe de percusión justo en el corte de plano.</w:t>
            </w:r>
          </w:p>
        </w:tc>
      </w:tr>
      <w:tr w14:paraId="424072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EDACE30">
            <w:pPr>
              <w:spacing w:after="60"/>
              <w:rPr>
                <w:color w:val="auto"/>
              </w:rPr>
            </w:pPr>
            <w:r>
              <w:rPr>
                <w:b/>
                <w:bCs/>
                <w:color w:val="auto"/>
                <w:sz w:val="20"/>
                <w:szCs w:val="20"/>
              </w:rPr>
              <w:t>10–40 s</w:t>
            </w:r>
          </w:p>
          <w:p w14:paraId="36C33397">
            <w:pPr>
              <w:spacing w:after="0"/>
              <w:rPr>
                <w:color w:val="auto"/>
              </w:rPr>
            </w:pPr>
            <w:r>
              <w:rPr>
                <w:b w:val="0"/>
                <w:bCs w:val="0"/>
                <w:color w:val="auto"/>
                <w:sz w:val="18"/>
                <w:szCs w:val="18"/>
              </w:rPr>
              <w:t>Sustento (Informar)</w:t>
            </w:r>
          </w:p>
        </w:tc>
        <w:tc>
          <w:tcPr>
            <w:tcW w:w="460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7D93139">
            <w:pPr>
              <w:spacing w:after="0"/>
              <w:rPr>
                <w:color w:val="auto"/>
              </w:rPr>
            </w:pPr>
            <w:r>
              <w:rPr>
                <w:b w:val="0"/>
                <w:bCs w:val="0"/>
                <w:color w:val="auto"/>
                <w:sz w:val="20"/>
                <w:szCs w:val="20"/>
              </w:rPr>
              <w:t>"Analizamos cinco años de datos abiertos del ICFES más de 127 mil registros— y construimos un modelo que acierta con un margen de error de apenas 9 puntos sobre 300. Pero encontramos algo más importante: los programas más difíciles de predecir están en los departamentos con menos desarrollo relativo, como Sucre, Chocó y Putumayo, justo donde más se necesita anticiparse."</w:t>
            </w:r>
          </w:p>
        </w:tc>
        <w:tc>
          <w:tcPr>
            <w:tcW w:w="352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12CB5CE">
            <w:pPr>
              <w:spacing w:after="0"/>
              <w:rPr>
                <w:color w:val="auto"/>
              </w:rPr>
            </w:pPr>
            <w:r>
              <w:rPr>
                <w:b w:val="0"/>
                <w:bCs w:val="0"/>
                <w:color w:val="auto"/>
                <w:sz w:val="20"/>
                <w:szCs w:val="20"/>
              </w:rPr>
              <w:t>Grabación de pantalla (screen-record) de los gráficos reales del trabajo animándose: la nube de puntos Predicho vs. Real dibujándose progresivamente y luego la barra de error por departamento creciendo, con Sucre, Chocó y Putumayo resaltados. Cifras clave sobreimpresas: R² = 0,706 · RMSE = 9,33. Voz en off narrando sobre música de fondo constante.</w:t>
            </w:r>
          </w:p>
        </w:tc>
      </w:tr>
      <w:tr w14:paraId="678CB8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5C3A7A1">
            <w:pPr>
              <w:spacing w:after="60"/>
              <w:rPr>
                <w:color w:val="auto"/>
              </w:rPr>
            </w:pPr>
            <w:r>
              <w:rPr>
                <w:b/>
                <w:bCs/>
                <w:color w:val="auto"/>
                <w:sz w:val="20"/>
                <w:szCs w:val="20"/>
              </w:rPr>
              <w:t>40–60 s</w:t>
            </w:r>
          </w:p>
          <w:p w14:paraId="4C824D8F">
            <w:pPr>
              <w:spacing w:after="0"/>
              <w:rPr>
                <w:color w:val="auto"/>
              </w:rPr>
            </w:pPr>
            <w:r>
              <w:rPr>
                <w:b w:val="0"/>
                <w:bCs w:val="0"/>
                <w:color w:val="auto"/>
                <w:sz w:val="18"/>
                <w:szCs w:val="18"/>
              </w:rPr>
              <w:t>Cierre (Convencer)</w:t>
            </w:r>
          </w:p>
        </w:tc>
        <w:tc>
          <w:tcPr>
            <w:tcW w:w="460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84D7D4D">
            <w:pPr>
              <w:spacing w:after="0"/>
              <w:rPr>
                <w:color w:val="auto"/>
              </w:rPr>
            </w:pPr>
            <w:r>
              <w:rPr>
                <w:b w:val="0"/>
                <w:bCs w:val="0"/>
                <w:color w:val="auto"/>
                <w:sz w:val="20"/>
                <w:szCs w:val="20"/>
              </w:rPr>
              <w:t>"Esto no es solo un modelo: es una alerta temprana para que las universidades actúen a tiempo, justo donde más se necesita. Inteligencia Artificial al servicio de la equidad educativa. Un trabajo de UNIMINUTO para las Misiones de Conocimiento — ENSIU 2026."</w:t>
            </w:r>
          </w:p>
        </w:tc>
        <w:tc>
          <w:tcPr>
            <w:tcW w:w="352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7372ABE">
            <w:pPr>
              <w:spacing w:after="0"/>
              <w:rPr>
                <w:color w:val="auto"/>
              </w:rPr>
            </w:pPr>
            <w:r>
              <w:rPr>
                <w:b w:val="0"/>
                <w:bCs w:val="0"/>
                <w:color w:val="auto"/>
                <w:sz w:val="20"/>
                <w:szCs w:val="20"/>
              </w:rPr>
              <w:t xml:space="preserve">Vuelta a la secuencia de campus/estudiantes variados del inicio (mismo recurso, cierra el círculo) con texto sobreimpreso del mensaje final; solo en el último cuadro aparece el logo UNIMINUTO / #UniminutoInvestiga junto con "Misión 4: Inteligencia Artificial para la equidad", como firma del trabajo, no como protagonista de la pieza. </w:t>
            </w:r>
            <w:bookmarkStart w:id="0" w:name="_GoBack"/>
            <w:bookmarkEnd w:id="0"/>
          </w:p>
        </w:tc>
      </w:tr>
    </w:tbl>
    <w:p w14:paraId="72658BEB">
      <w:pPr>
        <w:pBdr>
          <w:top w:val="single" w:color="CCCCCC" w:sz="6" w:space="8"/>
        </w:pBdr>
        <w:spacing w:before="300"/>
        <w:rPr>
          <w:color w:val="auto"/>
        </w:rPr>
      </w:pPr>
    </w:p>
    <w:sectPr>
      <w:pgSz w:w="12240" w:h="15840"/>
      <w:pgMar w:top="1080" w:right="1260" w:bottom="1080" w:left="126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043771B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0" w:semiHidden="0" w:name="List Paragraph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character" w:styleId="11">
    <w:name w:val="footnote reference"/>
    <w:semiHidden/>
    <w:unhideWhenUsed/>
    <w:qFormat/>
    <w:uiPriority w:val="99"/>
    <w:rPr>
      <w:vertAlign w:val="superscript"/>
    </w:rPr>
  </w:style>
  <w:style w:type="character" w:styleId="12">
    <w:name w:val="Hyperlink"/>
    <w:unhideWhenUsed/>
    <w:qFormat/>
    <w:uiPriority w:val="99"/>
    <w:rPr>
      <w:color w:val="0563C1"/>
      <w:u w:val="single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14">
    <w:name w:val="endnote text"/>
    <w:link w:val="18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15">
    <w:name w:val="Title"/>
    <w:qFormat/>
    <w:uiPriority w:val="0"/>
    <w:rPr>
      <w:sz w:val="56"/>
      <w:szCs w:val="56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4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676</Words>
  <Characters>3631</Characters>
  <TotalTime>24</TotalTime>
  <ScaleCrop>false</ScaleCrop>
  <LinksUpToDate>false</LinksUpToDate>
  <CharactersWithSpaces>4276</CharactersWithSpaces>
  <Application>WPS Office_12.1.0.28032_F1E327BC-269C-435d-A152-05C5408002CA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2026-09-07T21:46:00Z</dcterms:created>
  <dc:creator>Un-named</dc:creator>
  <cp:lastModifiedBy>Nathalia Orozco</cp:lastModifiedBy>
  <dcterms:modified xsi:type="dcterms:W3CDTF">2026-09-07T22:23:26Z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eyJoZGlkIjoiMTYyZDIzM2ExOTJiZGUzZDQzZGQ4ZTMwZGYxMTZiMmUiLCJ1c2VySWQiOiIyMTk5MDIzOTgxMTA2In0=</vt:lpwstr>
  </property>
  <property fmtid="{D5CDD505-2E9C-101B-9397-08002B2CF9AE}" pid="3" name="KSOProductBuildVer">
    <vt:lpwstr>3082-12.1.0.28032</vt:lpwstr>
  </property>
  <property fmtid="{D5CDD505-2E9C-101B-9397-08002B2CF9AE}" pid="4" name="ICV">
    <vt:lpwstr>C4ECC0D25E35496D8990CB616EC74FE6_13</vt:lpwstr>
  </property>
</Properties>
</file>