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12221C3E" wp14:textId="77777777">
      <w:pPr>
        <w:spacing w:before="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Predicción del PROMEDIO_GLOBAL de Saber Pro mediante LightGBM y auditoría de fuga temporal: un estudio a nivel de programa académico en Colombia</w:t>
      </w:r>
    </w:p>
    <w:p xmlns:wp14="http://schemas.microsoft.com/office/word/2010/wordml" w14:paraId="3FF6891B" wp14:textId="77777777">
      <w:pPr>
        <w:spacing w:before="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xmlns:wp14="http://schemas.microsoft.com/office/word/2010/wordml" w14:paraId="446DD1C5" wp14:textId="77777777">
      <w:pPr>
        <w:spacing w:before="40" w:after="4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Predicting Saber Pro PROMEDIO_GLOBAL with LightGBM and temporal leakage auditing: a program-level study in Colombia</w:t>
      </w:r>
    </w:p>
    <w:p xmlns:wp14="http://schemas.microsoft.com/office/word/2010/wordml" w14:paraId="3497AAC0" wp14:textId="77777777">
      <w:pPr>
        <w:spacing w:before="120" w:after="40"/>
        <w:jc w:val="center"/>
      </w:pPr>
      <w:r>
        <w:rPr>
          <w:rFonts w:ascii="Times New Roman" w:hAnsi="Times New Roman" w:cs="Times New Roman"/>
          <w:sz w:val="24"/>
          <w:szCs w:val="24"/>
        </w:rPr>
        <w:t>Edwin Santiago Paz Bedoya</w:t>
      </w:r>
    </w:p>
    <w:p xmlns:wp14="http://schemas.microsoft.com/office/word/2010/wordml" w14:paraId="24F40184" wp14:textId="77777777">
      <w:pPr>
        <w:spacing w:before="0" w:after="40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UNIMINUTO, </w:t>
      </w:r>
      <w:r>
        <w:rPr>
          <w:rFonts w:hint="default" w:ascii="Times New Roman" w:hAnsi="Times New Roman" w:cs="Times New Roman"/>
          <w:sz w:val="20"/>
          <w:szCs w:val="20"/>
          <w:lang w:val="es-CO"/>
        </w:rPr>
        <w:t>Bogotá</w:t>
      </w:r>
      <w:r>
        <w:rPr>
          <w:rFonts w:ascii="Times New Roman" w:hAnsi="Times New Roman" w:cs="Times New Roman"/>
          <w:sz w:val="20"/>
          <w:szCs w:val="20"/>
        </w:rPr>
        <w:t>, Colombia.</w:t>
      </w:r>
    </w:p>
    <w:p xmlns:wp14="http://schemas.microsoft.com/office/word/2010/wordml" w14:paraId="7CD76F4D" wp14:textId="77777777">
      <w:pPr>
        <w:spacing w:before="0" w:after="40"/>
      </w:pPr>
    </w:p>
    <w:p xmlns:wp14="http://schemas.microsoft.com/office/word/2010/wordml" w14:paraId="1C3D879D" wp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xmlns:wp14="http://schemas.microsoft.com/office/word/2010/wordml" w:rsidP="36A5FF65" w14:paraId="198D45A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This paper presents a full predictive pipeline for the Saber Pro PROMEDIO_GLOBAL at the academic program level in Colombia, trained on public ICFES data for 2020–2024 (127,716 post-pivot observations). A temporal leakage catalog of six leakage types (ΔR²≈ 0.22) is documented as the primary methodological contribution. LightGBM achieves R² = 0.706 and RMSE = 9.33, outperforming Ridge, Lasso and a Transformer encoder. SHAP analysis confirms that institutional inertia (lag_1_promedio_global) is the dominant predictor. A deployable inference module with three empirical confidence flags is delivered. Results enable proactive curricular intervention before ICFES official publication.</w:t>
      </w:r>
    </w:p>
    <w:p xmlns:wp14="http://schemas.microsoft.com/office/word/2010/wordml" w14:paraId="44967720" wp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Resumen</w:t>
      </w:r>
    </w:p>
    <w:p xmlns:wp14="http://schemas.microsoft.com/office/word/2010/wordml" w:rsidP="36A5FF65" w14:paraId="0F2023C5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construye un motor predictivo completo del PROMEDIO_GLOBAL de Saber Pro a nivel de programa académico en Colombia, entrenado sobre datos públicos del ICFES para el período 2020–2024 (127,716 observaciones post-pivot). Se documenta un catálogo de seis tipos de fuga de información (ΔR²≈ 0,22) como contribución metodológica principal. LightGBM alcanza R² = 0,706 y RMSE = 9,33, superando a Ridge, Lasso y un Transformer encoder. El análisis SHAP confirma que la inercia institucional (lag_1_promedio_global) es el predictor dominante. Se entrega un módulo de inferencia deployable con tres flags empíricos de confianza. Los resultados habilitan intervención curricular proactiva antes de la publicación oficial del ICFES.</w:t>
      </w:r>
    </w:p>
    <w:p xmlns:wp14="http://schemas.microsoft.com/office/word/2010/wordml" w:rsidP="473E729D" w14:paraId="58DF9ACE" wp14:textId="77777777">
      <w:pPr>
        <w:jc w:val="both"/>
        <w:rPr>
          <w:rStyle w:val="17"/>
          <w:lang w:val="en-US"/>
        </w:rPr>
      </w:pPr>
      <w:r w:rsidRPr="473E729D" w:rsidR="36A5FF65">
        <w:rPr>
          <w:rStyle w:val="17"/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US" w:eastAsia="en-US" w:bidi="ar-SA"/>
        </w:rPr>
        <w:t>Palabras clave: Saber Pro, predicción del rendimiento académico, LightGBM, fuga de información, SHAP, panel temporal, educación superior colombiana.</w:t>
      </w:r>
    </w:p>
    <w:p xmlns:wp14="http://schemas.microsoft.com/office/word/2010/wordml" w:rsidP="36A5FF65" w14:paraId="58EBE22A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1 Introducción</w:t>
      </w:r>
    </w:p>
    <w:p xmlns:wp14="http://schemas.microsoft.com/office/word/2010/wordml" w:rsidP="36A5FF65" w14:paraId="36C5BCC5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examen Saber Pro mide la calidad de los programas de educación superior universitaria en Colombia. El examen evalúa cinco módulos genéricos (Lectura Crítica, Razonamiento Cuantitativo, Competencias Ciudadanas, Comunicación Escrita e Inglés) y módulos específicos según el Núcleo Básico del Conocimiento (NBC) del programa; cada módulo se califica con el modelo de Rasch [23] en una escala de 0 a 300 puntos, y el PROMEDIO_GLOBAL del estudiante es el promedio de esos módulos. El Instituto Colombiano para la Evaluación de la Educación (ICFES) lo administra y publica los resultados agregados por programa en esa misma variable. El Ministerio de Educación Nacional (MEN) usa estos resultados para acreditar programas, asignar recursos de fomento y comparar instituciones entre regiones [1], [15].</w:t>
      </w:r>
    </w:p>
    <w:p xmlns:wp14="http://schemas.microsoft.com/office/word/2010/wordml" w:rsidP="36A5FF65" w14:paraId="0AF2F61E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entrega los resultados varios meses después de la aplicación del examen. Esta asimetría temporal impide que las instituciones identifiquen con antelación los programas en riesgo de obtener un PROMEDIO_GLOBAL bajo, y obliga a una gestión de calidad esencialmente reactiva.</w:t>
      </w:r>
    </w:p>
    <w:p xmlns:wp14="http://schemas.microsoft.com/office/word/2010/wordml" w:rsidP="36A5FF65" w14:paraId="3F29F58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A la fecha no existe un sistema abierto de predicción que opere sobre los datos públicos del ICFES a nivel de programa universitario. El presente trabajo llena esa brecha y construye un motor completo, desde la ingesta de los archivos crudos del ICFES hasta un módulo de inferencia deployable con cuantificación de incertidumbre. El objetivo es diseñar, entrenar y evaluar un motor predictivo del PROMEDIO_GLOBAL a nivel de programa académico, capaz de anticipar el resultado de la próxima aplicación de Saber Pro a partir de su historial de resultados, y de cuantificar la incertidumbre asociada a cada predicción mediante flags de confianza.</w:t>
      </w:r>
    </w:p>
    <w:p xmlns:wp14="http://schemas.microsoft.com/office/word/2010/wordml" w:rsidP="36A5FF65" w14:paraId="13EB5DF0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Las contribuciones son las siguientes. Se documentan seis tipos de fuga de información en datos de evaluación educativa en panel temporal, con impacto conjunto medido ΔR²≈ 0,22; este catálogo es transferible a otros sistemas de evaluación con cadencia anual. Se diseña una estrategia de pivot long→wide en tres capas para datos ICFES. Se construyen 15 features temporales causalmente válidas para paneles con cobertura desigual. Se evalúan cuatro familias de modelos bajo un split temporal estricto y se explica cuantitativamente por qué el Transformer no resulta competitivo. Se entrega un módulo de inferencia con tres flags empíricos de confianza. El resto del documento se organiza así: la Sección 2 revisa los trabajos relacionados y el marco teórico; la Sección 3 describe los datos y la metodología; la Sección 4 presenta los resultados; la Sección 5 discute los hallazgos; la Sección 6 presenta las conclusiones y trabajo futuro.</w:t>
      </w:r>
    </w:p>
    <w:p xmlns:wp14="http://schemas.microsoft.com/office/word/2010/wordml" w:rsidP="36A5FF65" w14:paraId="769FCCBB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2 Marco Teórico y Trabajos Relacionados</w:t>
      </w:r>
    </w:p>
    <w:p xmlns:wp14="http://schemas.microsoft.com/office/word/2010/wordml" w14:paraId="2546286E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2.1 El Examen Saber Pro y el Modelo de Rasch</w:t>
      </w:r>
    </w:p>
    <w:p xmlns:wp14="http://schemas.microsoft.com/office/word/2010/wordml" w:rsidP="36A5FF65" w14:paraId="62BD19C6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administra Saber Pro como instrumento de aseguramiento de calidad de la educación superior colombiana, y el MEN incorpora sus resultados en los lineamientos del SACES [1], [15]. Cada módulo se califica con el modelo de Rasch [23], un modelo psicométrico de la teoría de respuesta al ítem que estima conjuntamente la habilidad del evaluado y la dificultad del ítem sobre una escala común, lo que permite comparar resultados entre aplicaciones con cuadernillos distintos. El PROMEDIO_GLOBAL publicado por programa es un agregado de puntajes Rasch individuales, no un simple conteo de aciertos, lo que explica su comportamiento aproximadamente continuo y respalda su tratamiento como variable de regresión.</w:t>
      </w:r>
    </w:p>
    <w:p xmlns:wp14="http://schemas.microsoft.com/office/word/2010/wordml" w:rsidP="36A5FF65" w14:paraId="262F2CD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2.2 Minería de Datos Educativa y Trabajos Relacionados</w:t>
      </w:r>
    </w:p>
    <w:p xmlns:wp14="http://schemas.microsoft.com/office/word/2010/wordml" w:rsidP="36A5FF65" w14:paraId="269BF03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literatura de Educational Data Mining (EDM) predice el rendimiento académico sobre todo a nivel individual [7], [8]. El boosting sobre árboles [2], [3] domina los métodos aplicados. En América Latina, Rangel-Mora y Pérez-Roa [16] revisan sistemáticamente técnicas de minería sobre pruebas Saber en Colombia; Chafla et al. [21] aplican ML con explicabilidad en educación superior ecuatoriana; Acıslı-Celik y Yesilkanat [22] predicen desempeño en PISA 2015–2018. Todos estos trabajos operan a nivel de estudiante individual o de país-año, no a nivel programa-institución, brecha que motiva el presente trabajo.</w:t>
      </w:r>
    </w:p>
    <w:p xmlns:wp14="http://schemas.microsoft.com/office/word/2010/wordml" w:rsidP="36A5FF65" w14:paraId="195C0B6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2.3 Fuga de Información en Paneles Temporales</w:t>
      </w:r>
    </w:p>
    <w:p xmlns:wp14="http://schemas.microsoft.com/office/word/2010/wordml" w:rsidP="36A5FF65" w14:paraId="33F7A8CA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Ninguno de los trabajos anteriores documenta sistemáticamente los riesgos de fuga cuando el target y los features proceden de la misma publicación anual. Kaufman et al. [9] advierten que la fuga es el defecto más común y costoso en minería de datos, pero la literatura EDM rara vez la audita explícitamente en paneles multianuales.</w:t>
      </w:r>
    </w:p>
    <w:p xmlns:wp14="http://schemas.microsoft.com/office/word/2010/wordml" w:rsidP="36A5FF65" w14:paraId="42B62DEB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2.4 Modelos de Aprendizaje Supervisado para Datos Tabulares</w:t>
      </w:r>
    </w:p>
    <w:p xmlns:wp14="http://schemas.microsoft.com/office/word/2010/wordml" w:rsidP="36A5FF65" w14:paraId="1AD38A4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Ridge [24] y Lasso [25] son métodos de regresión regularizada (norma L2 y L1) que controlan el sobreajuste en presencia de variables correlacionadas. LightGBM [3] implementa boosting con particionamiento por hojas y manejo nativo de variables categóricas. El Transformer [5] aplica mecanismos de atención y se ha adaptado a datos tabulares. Grinsztajn et al. [11] muestran que los árboles superan a los MLP en datasets tabulares medianos con features categóricas informativas; Shwartz-Ziv y Armon [12] y Gorishniy et al. [10] confirman el patrón en benchmarks amplios. SHAP [6] es un método de interpretabilidad basado en teoría de juegos cooperativos que descompone cada predicción en contribuciones por feature.</w:t>
      </w:r>
    </w:p>
    <w:p xmlns:wp14="http://schemas.microsoft.com/office/word/2010/wordml" w:rsidP="36A5FF65" w14:paraId="47C00904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3 Datos y Metodología</w:t>
      </w:r>
    </w:p>
    <w:p xmlns:wp14="http://schemas.microsoft.com/office/word/2010/wordml" w14:paraId="1F59D851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3.1 Fuente de Datos</w:t>
      </w:r>
    </w:p>
    <w:p xmlns:wp14="http://schemas.microsoft.com/office/word/2010/wordml" w:rsidP="36A5FF65" w14:paraId="097F4EA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datos provienen de los reportes agregados Saber Pro que el ICFES publica anualmente para el período 2020–2024 [1], distribuidos como un archivo abierto independiente por cada año de aplicación. El dataset crudo consolidado suma 1.730.805 filas distribuidas en cinco archivos anuales; cada fila corresponde a una combinación de programa académico, prueba específica y tipo de medida estadística, no a un programa individual, lo que produce una estructura long-format. El 97,3 % de nulos en PROMEDIO_GLOBAL refleja esa estructura, donde el target solo aparece en filas de tipo PUNTAJE_GLOBAL.</w:t>
      </w:r>
    </w:p>
    <w:p xmlns:wp14="http://schemas.microsoft.com/office/word/2010/wordml" w:rsidP="36A5FF65" w14:paraId="335538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3.2 Formato Long y Estrategia de Pivot</w:t>
      </w:r>
    </w:p>
    <w:p xmlns:wp14="http://schemas.microsoft.com/office/word/2010/wordml" w14:paraId="324E4708" wp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Los archivos ICFES usan la columna MEDIDA_AGREGACION para discriminar el tipo de estadística de cada fila. Se identificaron tres capas utilizables: (a) PUNTAJE_PRUEBA, promedio por prueba; (b) PUNTAJE_GLOBAL, target PROMEDIO_GLOBAL; y (c) NIVEL_DESEMPEÑO_PRUEBA, proporciones por nivel. Se aplicó un pivot long→wide con inner join sobre la llave (AÑO, ID_INSTITUCION, ID_PROGRAMA_ACAD, NOMBRE_PRUEBA), preservando únicamente entidades con las tres capas presentes. El resultado es 127.716 filas wide con el target disponible al 100 %.</w:t>
      </w:r>
      <w:r>
        <w:rPr>
          <w:rStyle w:val="17"/>
          <w:rFonts w:hint="default"/>
          <w:lang w:val="es-CO"/>
        </w:rPr>
        <w:t xml:space="preserve">  La Figura 1 ilustra la distribución del PROMEDIO_GLOBAL resultante, el crecimiento de filas limpias por año y las pruebas y NBCs más frecuentes del panel.</w:t>
      </w:r>
    </w:p>
    <w:p xmlns:wp14="http://schemas.microsoft.com/office/word/2010/wordml" w:rsidP="36A5FF65" w14:paraId="309CB08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3.3 Detección y Corrección de Fuga de Información</w:t>
      </w:r>
    </w:p>
    <w:p xmlns:wp14="http://schemas.microsoft.com/office/word/2010/wordml" w:rsidP="473E729D" w14:paraId="17D802D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Se identificaron seis tipos de fuga (L1–L6) con impacto conjunto ΔR² ≈ 0,22. El baseline Lasso con fugas presentes reportaba R² ≈ 0,88; tras las correcciones, R² = 0,658. Las fugas incluyen: uso de PROMEDIO_GLOBAL del año corriente como feature, fuga a través de proporciones de nivel de desempeño calculadas con el target, y uso de percentiles del mismo ciclo.</w:t>
      </w:r>
    </w:p>
    <w:p xmlns:wp14="http://schemas.microsoft.com/office/word/2010/wordml" w14:paraId="55363496" wp14:textId="77777777">
      <w:pPr>
        <w:jc w:val="both"/>
        <w:rPr>
          <w:rStyle w:val="17"/>
          <w:rFonts w:hint="default"/>
          <w:lang w:val="en"/>
        </w:rPr>
      </w:pPr>
    </w:p>
    <w:p xmlns:wp14="http://schemas.microsoft.com/office/word/2010/wordml" w14:paraId="36B57FDB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43F7AC31" wp14:editId="7777777">
            <wp:extent cx="4370070" cy="3177540"/>
            <wp:effectExtent l="0" t="0" r="3810" b="7620"/>
            <wp:docPr id="12" nam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65A65235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1. Dataset Saber Pro post-pivot y limpieza. Superior izquierdo: distribución del PROMEDIO_GLOBAL (media = 148,1). Superior derecho: filas limpias por año (2020–2024). Inferior: top 15 pruebas y NBCs por frecuencia.</w:t>
      </w:r>
    </w:p>
    <w:p xmlns:wp14="http://schemas.microsoft.com/office/word/2010/wordml" w14:paraId="1B57EF9B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3.4 Ingeniería de Features</w:t>
      </w:r>
    </w:p>
    <w:p xmlns:wp14="http://schemas.microsoft.com/office/word/2010/wordml" w:rsidP="473E729D" w14:paraId="380B2EC6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Se construyeron 15 features causalmente válidas: rezagos temporales lag_1 y lag_2 del PROMEDIO_GLOBAL y de cada prueba, tendencia histórica, desviación estándar histórica, logaritmo del número de evaluados, año, identificadores de NBC y departamento codificados con TargetEncoder. El split temporal estricto usa 2020–2023 para entrenamiento (98.954 filas) y 2024 para prueba (28.762 filas).</w:t>
      </w:r>
    </w:p>
    <w:p xmlns:wp14="http://schemas.microsoft.com/office/word/2010/wordml" w:rsidP="473E729D" w14:paraId="7D73621B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3.5 Modelos Evaluados</w:t>
      </w:r>
    </w:p>
    <w:p xmlns:wp14="http://schemas.microsoft.com/office/word/2010/wordml" w:rsidP="36A5FF65" w14:paraId="26F2610A" wp14:textId="075DFC4E">
      <w:pPr>
        <w:jc w:val="both"/>
        <w:rPr>
          <w:rStyle w:val="17"/>
          <w:lang w:val="es-ES"/>
        </w:rPr>
      </w:pPr>
      <w:r w:rsidRPr="36A5FF65" w:rsidR="7118E9F6">
        <w:rPr>
          <w:rStyle w:val="17"/>
          <w:lang w:val="es-ES"/>
        </w:rPr>
        <w:t>Finalmente se evaluaron cuatro familias: (1) Ridge con α automático (</w:t>
      </w:r>
      <w:r w:rsidRPr="36A5FF65" w:rsidR="7118E9F6">
        <w:rPr>
          <w:rStyle w:val="17"/>
          <w:lang w:val="es-ES"/>
        </w:rPr>
        <w:t>RidgeCV</w:t>
      </w:r>
      <w:r w:rsidRPr="36A5FF65" w:rsidR="7118E9F6">
        <w:rPr>
          <w:rStyle w:val="17"/>
          <w:lang w:val="es-ES"/>
        </w:rPr>
        <w:t>); (2) Lasso con α automático (</w:t>
      </w:r>
      <w:r w:rsidRPr="36A5FF65" w:rsidR="7118E9F6">
        <w:rPr>
          <w:rStyle w:val="17"/>
          <w:lang w:val="es-ES"/>
        </w:rPr>
        <w:t>LassoCV</w:t>
      </w:r>
      <w:r w:rsidRPr="36A5FF65" w:rsidR="7118E9F6">
        <w:rPr>
          <w:rStyle w:val="17"/>
          <w:lang w:val="es-ES"/>
        </w:rPr>
        <w:t xml:space="preserve">); (3) </w:t>
      </w:r>
      <w:r w:rsidRPr="36A5FF65" w:rsidR="7118E9F6">
        <w:rPr>
          <w:rStyle w:val="17"/>
          <w:lang w:val="es-ES"/>
        </w:rPr>
        <w:t>LightGBM</w:t>
      </w:r>
      <w:r w:rsidRPr="36A5FF65" w:rsidR="7118E9F6">
        <w:rPr>
          <w:rStyle w:val="17"/>
          <w:lang w:val="es-ES"/>
        </w:rPr>
        <w:t xml:space="preserve"> con 50 </w:t>
      </w:r>
      <w:r w:rsidRPr="36A5FF65" w:rsidR="7118E9F6">
        <w:rPr>
          <w:rStyle w:val="17"/>
          <w:lang w:val="es-ES"/>
        </w:rPr>
        <w:t>trials</w:t>
      </w:r>
      <w:r w:rsidRPr="36A5FF65" w:rsidR="7118E9F6">
        <w:rPr>
          <w:rStyle w:val="17"/>
          <w:lang w:val="es-ES"/>
        </w:rPr>
        <w:t xml:space="preserve"> de búsqueda </w:t>
      </w:r>
      <w:r w:rsidRPr="36A5FF65" w:rsidR="7118E9F6">
        <w:rPr>
          <w:rStyle w:val="17"/>
          <w:lang w:val="es-ES"/>
        </w:rPr>
        <w:t>Optuna</w:t>
      </w:r>
      <w:r w:rsidRPr="36A5FF65" w:rsidR="7118E9F6">
        <w:rPr>
          <w:rStyle w:val="17"/>
          <w:lang w:val="es-ES"/>
        </w:rPr>
        <w:t xml:space="preserve"> [4] y </w:t>
      </w:r>
      <w:r w:rsidRPr="36A5FF65" w:rsidR="7118E9F6">
        <w:rPr>
          <w:rStyle w:val="17"/>
          <w:lang w:val="es-ES"/>
        </w:rPr>
        <w:t>n_estimators</w:t>
      </w:r>
      <w:r w:rsidRPr="36A5FF65" w:rsidR="7118E9F6">
        <w:rPr>
          <w:rStyle w:val="17"/>
          <w:lang w:val="es-ES"/>
        </w:rPr>
        <w:t xml:space="preserve"> = 500; (4) </w:t>
      </w:r>
      <w:r w:rsidRPr="36A5FF65" w:rsidR="7118E9F6">
        <w:rPr>
          <w:rStyle w:val="17"/>
          <w:lang w:val="es-ES"/>
        </w:rPr>
        <w:t>Transformer</w:t>
      </w:r>
      <w:r w:rsidRPr="36A5FF65" w:rsidR="7118E9F6">
        <w:rPr>
          <w:rStyle w:val="17"/>
          <w:lang w:val="es-ES"/>
        </w:rPr>
        <w:t xml:space="preserve"> </w:t>
      </w:r>
      <w:r w:rsidRPr="36A5FF65" w:rsidR="7118E9F6">
        <w:rPr>
          <w:rStyle w:val="17"/>
          <w:lang w:val="es-ES"/>
        </w:rPr>
        <w:t>encoder</w:t>
      </w:r>
      <w:r w:rsidRPr="36A5FF65" w:rsidR="7118E9F6">
        <w:rPr>
          <w:rStyle w:val="17"/>
          <w:lang w:val="es-ES"/>
        </w:rPr>
        <w:t xml:space="preserve"> con </w:t>
      </w:r>
      <w:r w:rsidRPr="36A5FF65" w:rsidR="7118E9F6">
        <w:rPr>
          <w:rStyle w:val="17"/>
          <w:lang w:val="es-ES"/>
        </w:rPr>
        <w:t>early</w:t>
      </w:r>
      <w:r w:rsidRPr="36A5FF65" w:rsidR="7118E9F6">
        <w:rPr>
          <w:rStyle w:val="17"/>
          <w:lang w:val="es-ES"/>
        </w:rPr>
        <w:t xml:space="preserve"> </w:t>
      </w:r>
      <w:r w:rsidRPr="36A5FF65" w:rsidR="7118E9F6">
        <w:rPr>
          <w:rStyle w:val="17"/>
          <w:lang w:val="es-ES"/>
        </w:rPr>
        <w:t>stopping</w:t>
      </w:r>
      <w:r w:rsidRPr="36A5FF65" w:rsidR="7118E9F6">
        <w:rPr>
          <w:rStyle w:val="17"/>
          <w:lang w:val="es-ES"/>
        </w:rPr>
        <w:t xml:space="preserve"> (época 53/200). Las métricas de evaluación son RMSE, MAE y R². La interpretabilidad del modelo final se obtiene con SHAP [6].</w:t>
      </w:r>
    </w:p>
    <w:p xmlns:wp14="http://schemas.microsoft.com/office/word/2010/wordml" w:rsidP="473E729D" w14:paraId="1004B3FE" wp14:textId="77777777">
      <w:pPr>
        <w:jc w:val="both"/>
        <w:rPr>
          <w:rStyle w:val="17"/>
          <w:b w:val="1"/>
          <w:bCs w:val="1"/>
          <w:lang w:val="en-US"/>
        </w:rPr>
      </w:pPr>
      <w:r w:rsidRPr="473E729D" w:rsidR="473E729D">
        <w:rPr>
          <w:rStyle w:val="17"/>
          <w:b w:val="1"/>
          <w:bCs w:val="1"/>
          <w:lang w:val="en-US"/>
        </w:rPr>
        <w:t>4 Resultados</w:t>
      </w:r>
    </w:p>
    <w:p xmlns:wp14="http://schemas.microsoft.com/office/word/2010/wordml" w:rsidP="473E729D" w14:paraId="0EDED08D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4.1 Comparativa Global de Modelos</w:t>
      </w:r>
    </w:p>
    <w:p xmlns:wp14="http://schemas.microsoft.com/office/word/2010/wordml" w:rsidP="473E729D" w14:paraId="06CC2C94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crecimiento de filas crudas por año, especialmente el salto a 411.946 filas en 2024, se traduce en 127.716 filas wide tras el pivot y el split temporal (n = 28.762), confirmando que la mayor cobertura institucional reciente no introdujo distorsiones sistemáticas en la distribución del target. La Tabla 1 presenta las métricas de desempeño de los cuatro modelos evaluados sobre el conjunto de prueba 2024.</w:t>
      </w:r>
    </w:p>
    <w:tbl>
      <w:tblPr>
        <w:tblStyle w:val="3"/>
        <w:tblpPr w:leftFromText="180" w:rightFromText="180" w:vertAnchor="text" w:horzAnchor="page" w:tblpXSpec="center" w:tblpY="447"/>
        <w:tblOverlap w:val="never"/>
        <w:tblW w:w="97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440"/>
        <w:gridCol w:w="1440"/>
        <w:gridCol w:w="1440"/>
        <w:gridCol w:w="2560"/>
      </w:tblGrid>
      <w:tr xmlns:wp14="http://schemas.microsoft.com/office/word/2010/wordml" w:rsidTr="473E729D" w14:paraId="7FB0A427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  <w:tl2br w:val="nil"/>
            </w:tcBorders>
            <w:shd w:val="clear" w:color="auto" w:fill="FFFFFF" w:themeFill="background1"/>
            <w:tcMar/>
          </w:tcPr>
          <w:p w:rsidP="36A5FF65" w14:paraId="7B14C872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Modelo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15F0D81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RMSE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7036B0F7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MAE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52A67C83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R²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BA41541" wp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Config.</w:t>
            </w:r>
          </w:p>
        </w:tc>
      </w:tr>
      <w:tr xmlns:wp14="http://schemas.microsoft.com/office/word/2010/wordml" w:rsidTr="473E729D" w14:paraId="3C68B64B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2697250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Ridge (ref.)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BCDAB32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10,2294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158F8E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7,2967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49031E5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0,6467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47CED0BC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RidgeCV</w:t>
            </w:r>
          </w:p>
        </w:tc>
      </w:tr>
      <w:tr xmlns:wp14="http://schemas.microsoft.com/office/word/2010/wordml" w:rsidTr="473E729D" w14:paraId="1B0151C7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60B409D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Lasso (ref.)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5F3C5D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10,0722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26B1785C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7,0622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F9C63A1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0,6575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1E6F5ADD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LassoCV</w:t>
            </w:r>
          </w:p>
        </w:tc>
      </w:tr>
      <w:tr xmlns:wp14="http://schemas.microsoft.com/office/word/2010/wordml" w:rsidTr="473E729D" w14:paraId="5F2AD21F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A0FCD22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LightGBM (prop.)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19D8DCE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9,3293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05368D52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6,2109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13FD9DD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0,7062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9BB4AD6" wp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Optuna 50t</w:t>
            </w:r>
          </w:p>
        </w:tc>
      </w:tr>
      <w:tr xmlns:wp14="http://schemas.microsoft.com/office/word/2010/wordml" w:rsidTr="473E729D" w14:paraId="7E0A820F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4A06DA5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Transformer enc.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60AD576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16,8588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EDDDE31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n/d</w:t>
            </w:r>
          </w:p>
        </w:tc>
        <w:tc>
          <w:tcPr>
            <w:tcW w:w="144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5D0784F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0,0405</w:t>
            </w:r>
          </w:p>
        </w:tc>
        <w:tc>
          <w:tcPr>
            <w:tcW w:w="256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05C294A" wp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early stop ép.53</w:t>
            </w:r>
          </w:p>
        </w:tc>
      </w:tr>
    </w:tbl>
    <w:p xmlns:wp14="http://schemas.microsoft.com/office/word/2010/wordml" w:rsidP="473E729D" w14:paraId="2A131E0A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Tabla 1. Comparativa de métricas en el conju</w:t>
      </w:r>
      <w:bookmarkStart w:name="_GoBack" w:id="0"/>
      <w:bookmarkEnd w:id="0"/>
      <w:r w:rsidRPr="473E729D" w:rsidR="473E729D">
        <w:rPr>
          <w:rStyle w:val="17"/>
          <w:lang w:val="en-US"/>
        </w:rPr>
        <w:t>nto de prueba 2024 (n = 28.762)</w:t>
      </w:r>
    </w:p>
    <w:p xmlns:wp14="http://schemas.microsoft.com/office/word/2010/wordml" w14:paraId="79C5E905" wp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LightGBM supera a Lasso en ΔRMSE = −0,74 puntos (−7,4 %) y ΔR² = +0,049, alcanzando el umbral objetivo R² &gt; 0,70. Esta mejora se reporta sobre un único split temporal; un intervalo de confianza formal requiere múltiples splits walk-forward (trabajo futuro TF6). Para verificar que el modelo no incurre en sobreajuste, la Figura 2 muestra la evolución del RMSE de entrenamiento y validación a lo largo de las 225 iteraciones de boosting. Ambas curvas convergen en la iteración 168 con una brecha pequeña y estable, lo que confirma una regularización adecuada.</w:t>
      </w:r>
      <w:r>
        <w:rPr>
          <w:rStyle w:val="17"/>
          <w:rFonts w:hint="default"/>
          <w:lang w:val="es-CO"/>
        </w:rPr>
        <w:t xml:space="preserve"> </w:t>
      </w:r>
    </w:p>
    <w:p xmlns:wp14="http://schemas.microsoft.com/office/word/2010/wordml" w14:paraId="318C371E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58E56B81" wp14:editId="7777777">
            <wp:extent cx="3950335" cy="1946910"/>
            <wp:effectExtent l="0" t="0" r="12065" b="3810"/>
            <wp:docPr id="17" name="fi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462976D7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2. LightGBM — Curva de aprendizaje (RMSE de entrenamiento y validación por iteración). La línea vertical marca la mejor iteración (168). La brecha pequeña y estable confirma regularización adecuada.</w:t>
      </w:r>
    </w:p>
    <w:p xmlns:wp14="http://schemas.microsoft.com/office/word/2010/wordml" w:rsidP="473E729D" w14:paraId="5824AF68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diagrama de dispersión entre los valores predichos y reales del PROMEDIO_GLOBAL (Figura 3) confirma el desempeño de LightGBM sobre el conjunto de prueba 2024 (n = 28.762): los puntos se agrupan densamente sobre la diagonal de predicción perfecta (R² = 0,706), con los errores más grandes concentrados en los extremos de la distribución, donde los programas presentan cohortes pequeñas o trayectorias históricas poco estables.</w:t>
      </w:r>
    </w:p>
    <w:p xmlns:wp14="http://schemas.microsoft.com/office/word/2010/wordml" w14:paraId="0EECC438" wp14:textId="77777777">
      <w:pPr>
        <w:jc w:val="both"/>
        <w:rPr>
          <w:rStyle w:val="17"/>
          <w:rFonts w:hint="default"/>
          <w:lang w:val="en"/>
        </w:rPr>
      </w:pPr>
    </w:p>
    <w:p xmlns:wp14="http://schemas.microsoft.com/office/word/2010/wordml" w14:paraId="71BCC876" wp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xmlns:wp14="http://schemas.microsoft.com/office/word/2010/wordprocessingDrawing" distT="0" distB="0" distL="0" distR="0" wp14:anchorId="669032D8" wp14:editId="7777777">
            <wp:extent cx="2673350" cy="2665095"/>
            <wp:effectExtent l="0" t="0" r="8890" b="1905"/>
            <wp:docPr id="15" name="fi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E729D" w14:paraId="24C3135A" wp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3. LightGBM — Predicho vs. Real en el conjunto de prueba 2024 (n = 28.762). RMSE = 9,33; MAE = 6,21; R² = 0,706. Los errores más grandes se concentran en los extremos de la distribución.</w:t>
      </w:r>
    </w:p>
    <w:p xmlns:wp14="http://schemas.microsoft.com/office/word/2010/wordml" w:rsidP="473E729D" w14:paraId="171E29FF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4.2 Importancia de Features — SHAP</w:t>
      </w:r>
    </w:p>
    <w:p xmlns:wp14="http://schemas.microsoft.com/office/word/2010/wordml" w14:paraId="27218B7C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El análisis SHAP (Fig</w:t>
      </w:r>
      <w:r>
        <w:rPr>
          <w:rStyle w:val="17"/>
          <w:rFonts w:hint="default"/>
          <w:lang w:val="es-CO"/>
        </w:rPr>
        <w:t>ura</w:t>
      </w:r>
      <w:r>
        <w:rPr>
          <w:rStyle w:val="17"/>
          <w:rFonts w:hint="default"/>
          <w:lang w:val="en"/>
        </w:rPr>
        <w:t> </w:t>
      </w:r>
      <w:r>
        <w:rPr>
          <w:rStyle w:val="17"/>
          <w:rFonts w:hint="default"/>
          <w:lang w:val="es-CO"/>
        </w:rPr>
        <w:t>4</w:t>
      </w:r>
      <w:r>
        <w:rPr>
          <w:rStyle w:val="17"/>
          <w:rFonts w:hint="default"/>
          <w:lang w:val="en"/>
        </w:rPr>
        <w:t>) revela que lag_1_promedio_global es el predictor dominante, con valores SHAP de hasta +28 puntos. Le siguen lag_2_promedio_global, lag_1_promedio_prueba y log_cantidadevaluados. Los indicadores NBC aparecen como efectos de intercepto por área disciplinar. La variable log_cantidadevaluados muestra que programas con cohortes pequeñas tienen SHAP negativo, reflejando mayor volatilidad en el promedio histórico.</w:t>
      </w:r>
    </w:p>
    <w:p xmlns:wp14="http://schemas.microsoft.com/office/word/2010/wordml" w14:paraId="13336A73" wp14:textId="77777777">
      <w:pPr>
        <w:spacing w:before="40" w:after="40"/>
        <w:jc w:val="center"/>
      </w:pPr>
      <w:r w:rsidR="36A5FF65">
        <w:drawing>
          <wp:inline xmlns:wp14="http://schemas.microsoft.com/office/word/2010/wordprocessingDrawing" wp14:editId="14A92016" wp14:anchorId="652D698E">
            <wp:extent cx="2942646" cy="2769583"/>
            <wp:effectExtent l="0" t="0" r="0" b="0"/>
            <wp:docPr id="16" name="fig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fig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646" cy="27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5CF589A3" wp14:textId="77777777">
      <w:pPr>
        <w:spacing w:before="0" w:after="60"/>
        <w:jc w:val="center"/>
        <w:rPr>
          <w:rFonts w:ascii="Calibri" w:hAnsi="Calibri" w:cs="Calibri"/>
          <w:i w:val="0"/>
          <w:iCs w:val="0"/>
        </w:rPr>
      </w:pPr>
      <w:r w:rsidRPr="36A5FF65" w:rsidR="36A5FF65">
        <w:rPr>
          <w:rFonts w:ascii="Calibri" w:hAnsi="Calibri" w:cs="Calibri"/>
          <w:i w:val="0"/>
          <w:iCs w:val="0"/>
          <w:sz w:val="20"/>
          <w:szCs w:val="20"/>
        </w:rPr>
        <w:t>Figura 4. LightGBM — SHAP Beeswarm (test 2024). lag_1_promedio_global domina con valores SHAP de hasta +28 puntos. El color codifica el valor del feature (rojo = alto, azul = bajo). Los rezagos temporales del PROMEDIO_GLOBAL dominan ampliamente sobre el resto de predictores.</w:t>
      </w:r>
    </w:p>
    <w:p w:rsidR="36A5FF65" w:rsidP="36A5FF65" w:rsidRDefault="36A5FF65" w14:paraId="4BC09B8D" w14:textId="6A169E2D">
      <w:pPr>
        <w:spacing w:before="0" w:after="60"/>
        <w:jc w:val="center"/>
        <w:rPr>
          <w:rFonts w:ascii="Calibri" w:hAnsi="Calibri" w:cs="Calibri"/>
          <w:i w:val="0"/>
          <w:iCs w:val="0"/>
          <w:sz w:val="20"/>
          <w:szCs w:val="20"/>
        </w:rPr>
      </w:pPr>
    </w:p>
    <w:p xmlns:wp14="http://schemas.microsoft.com/office/word/2010/wordml" w:rsidP="473E729D" w14:paraId="036D5FC3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4.3 Análisis de Errores por Área y Región</w:t>
      </w:r>
    </w:p>
    <w:p xmlns:wp14="http://schemas.microsoft.com/office/word/2010/wordml" w14:paraId="0C7C50F1" wp14:textId="77777777">
      <w:pPr>
        <w:jc w:val="both"/>
        <w:rPr>
          <w:rStyle w:val="17"/>
          <w:rFonts w:hint="default"/>
          <w:lang w:val="en"/>
        </w:rPr>
      </w:pPr>
      <w:r>
        <w:t>La Figura 5 desagrega el RMSE de LightGBM por Núcleo Básico del Conocimiento (top 25), revelando diferencias sustanciales entre áreas disciplinares. Los programas de Salud concentran los errores más bajos (RMSE entre 4,1 y 6,2 puntos), mientras que Educación (RMSE = 11,71) y Sin Clasificar (RMSE = 17,76) concentran los más altos, explicados por la alta heterogeneidad interna de esas categorías. El análisis geográfico complementario muestra que Sucre (≈ 13), Chocó (≈ 12) y Putumayo (≈ 11) presentan los mayores errores, coincidiendo con regiones de menor desarrollo económico relativo.</w:t>
      </w:r>
    </w:p>
    <w:p xmlns:wp14="http://schemas.microsoft.com/office/word/2010/wordml" w14:paraId="391579E6" wp14:textId="77777777">
      <w:pPr>
        <w:spacing w:before="40" w:after="40"/>
        <w:jc w:val="center"/>
      </w:pPr>
      <w:r>
        <w:drawing>
          <wp:inline xmlns:wp14="http://schemas.microsoft.com/office/word/2010/wordprocessingDrawing" distT="0" distB="0" distL="0" distR="0" wp14:anchorId="58AC6F7F" wp14:editId="7777777">
            <wp:extent cx="3199130" cy="2785745"/>
            <wp:effectExtent l="0" t="0" r="1270" b="3175"/>
            <wp:docPr id="18" name="fi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A5FF65" w14:paraId="50535A84" wp14:textId="77777777">
      <w:pPr>
        <w:jc w:val="center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Figura 5. LightGBM — RMSE por Núcleo Básico del Conocimiento (top 25). Sin Clasificar y Artes Representativas concentran los errores más altos por alta heterogeneidad interna.</w:t>
      </w:r>
    </w:p>
    <w:p xmlns:wp14="http://schemas.microsoft.com/office/word/2010/wordml" w:rsidP="36A5FF65" w14:paraId="736859AC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4.4 Módulo de Inferencia y Confianza</w:t>
      </w:r>
    </w:p>
    <w:p xmlns:wp14="http://schemas.microsoft.com/office/word/2010/wordml" w:rsidP="36A5FF65" w14:paraId="230B8FA4" wp14:textId="77777777">
      <w:pPr>
        <w:jc w:val="both"/>
        <w:rPr>
          <w:rStyle w:val="17"/>
          <w:lang w:val="en-US"/>
        </w:rPr>
      </w:pPr>
      <w:r>
        <w:t>Las predicciones de confianza MEDIA (84,4 %) obtienen RMSE aprox. 9,1 frente a RMSE aprox. 11,4 de confianza BAJA (15,6 %). El diferencial de 2,3 puntos confirma que los tres flags empíricos son informativos y permiten priorizar alertas institucionales según nivel de certeza. Para contrastar con LightGBM, el Transformer encoder exhibe una brecha considerable entre validación (aprox. 10,4 puntos RMSE) y test (16,86), lo que evidencia sobreajuste y generalización deficiente al conjunto de prueba 2024.</w:t>
      </w:r>
    </w:p>
    <w:p xmlns:wp14="http://schemas.microsoft.com/office/word/2010/wordml" w:rsidP="36A5FF65" w14:paraId="1A79D3BD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5 Discusión</w:t>
      </w:r>
    </w:p>
    <w:p xmlns:wp14="http://schemas.microsoft.com/office/word/2010/wordml" w:rsidP="36A5FF65" w14:paraId="218C96EE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5.1 Inercia Institucional como Predictor Dominante</w:t>
      </w:r>
    </w:p>
    <w:p xmlns:wp14="http://schemas.microsoft.com/office/word/2010/wordml" w:rsidP="36A5FF65" w14:paraId="4C04A58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patrón SHAP es consistente con la inercia institucional documentada en EDM: Romero y Ventura [7] identifican que el desempeño académico pasado es el predictor más robusto del desempeño futuro, y Behr et al. [8] confirman este hallazgo en predicción de abandono universitario. Los programas tienden a mantener su nivel relativo de desempeño entre ciclos, lo que justifica que el historial de PROMEDIO_GLOBAL sea suficiente para alcanzar R² = 0,706 sin variables de proceso internas.</w:t>
      </w:r>
    </w:p>
    <w:p xmlns:wp14="http://schemas.microsoft.com/office/word/2010/wordml" w:rsidP="36A5FF65" w14:paraId="147C5923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5.2 Por Qué LightGBM Supera al Transformer</w:t>
      </w:r>
    </w:p>
    <w:p xmlns:wp14="http://schemas.microsoft.com/office/word/2010/wordml" w:rsidP="36A5FF65" w14:paraId="209463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brecha (R² = 0,706 vs. 0,041) confirma cuatro factores estructurales: asimetría de muestras efectivas (ratio 3,05×), ausencia de features categóricas aprendibles en el Transformer, brecha val/test de 6,4 puntos por sobreajuste, y 51,7 % de secuencias con padding. Estas condiciones replican el régimen descrito por Grinsztajn et al. [11] y Shwartz-Ziv y Armon [12].</w:t>
      </w:r>
    </w:p>
    <w:p xmlns:wp14="http://schemas.microsoft.com/office/word/2010/wordml" w:rsidP="36A5FF65" w14:paraId="262B8434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5.3 Contribución Metodológica: Catálogo de Fugas</w:t>
      </w:r>
    </w:p>
    <w:p xmlns:wp14="http://schemas.microsoft.com/office/word/2010/wordml" w:rsidP="36A5FF65" w14:paraId="4F17FA62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documentación de seis tipos de fuga con ΔR² ≈ 0,22 llena un vacío metodológico identificado por Kaufman et al. [9]. La revisión de Rangel-Mora y Pérez-Roa [16], Chafla et al. [21] y Acıslı-Celik y Yesilkanat [22] confirma que ningún trabajo previo audita sistemáticamente fugas en paneles con publicación anual. El catálogo es transferible a PISA y otros exámenes de estado latinoamericanos.</w:t>
      </w:r>
    </w:p>
    <w:p xmlns:wp14="http://schemas.microsoft.com/office/word/2010/wordml" w:rsidP="36A5FF65" w14:paraId="1A55D15D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5.4 Implicaciones para Política Educativa</w:t>
      </w:r>
    </w:p>
    <w:p xmlns:wp14="http://schemas.microsoft.com/office/word/2010/wordml" w:rsidP="36A5FF65" w14:paraId="38D6AFF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SACES colombiano incorpora Saber Pro como insumo central para registro calificado y acreditación [15]. Un sistema que anticipe el PROMEDIO_GLOBAL un año antes transforma la gestión de calidad de reactiva a proactiva. Esta lógica es análoga a la propuesta por López-García et al. [26] para detección de fracaso estudiantil en la Universidad Industrial de Santander, aunque el presente trabajo opera a nivel programa-institución, complementándola. Los NBC con SHAP negativo y los departamentos con mayor RMSE señalan prioridades concretas de intervención y de recoleción de datos socioeconómicos externos.</w:t>
      </w:r>
    </w:p>
    <w:p xmlns:wp14="http://schemas.microsoft.com/office/word/2010/wordml" w:rsidP="36A5FF65" w14:paraId="19F1C50D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5.5 Limitaciones</w:t>
      </w:r>
    </w:p>
    <w:p xmlns:wp14="http://schemas.microsoft.com/office/word/2010/wordml" w:rsidP="36A5FF65" w14:paraId="3B07E351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L1: el período 2020–2024 incluye años atípicos de pandemia. L2: granularidad agregada a nivel programa-institución, sin datos individuales [7], [8]. L3: no se incluyen variables socioeconómicas externas [26]. L4: el catálogo de pruebas cambia entre años. L5: validación de un único horizonte (t→t+1). L6: sin intervalos de confianza formales por ausencia de walk-forward [9]. L7: la categoría Sin Clasificar requiere reclasificador previo.</w:t>
      </w:r>
    </w:p>
    <w:p xmlns:wp14="http://schemas.microsoft.com/office/word/2010/wordml" w:rsidP="36A5FF65" w14:paraId="365621AA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6 Conclusiones y Trabajo Futuro</w:t>
      </w:r>
    </w:p>
    <w:p xmlns:wp14="http://schemas.microsoft.com/office/word/2010/wordml" w:rsidP="36A5FF65" w14:paraId="175CC529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6.1 Conclusiones</w:t>
      </w:r>
    </w:p>
    <w:p xmlns:wp14="http://schemas.microsoft.com/office/word/2010/wordml" w:rsidP="36A5FF65" w14:paraId="449F727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demuestra que es posible predecir el PROMEDIO_GLOBAL de Saber Pro a nivel de programa académico con un año de anticipación, alcanzando R² = 0,706 y RMSE = 9,33 puntos sobre el conjunto de prueba 2024, a partir exclusivamente de datos públicos del ICFES. Este resultado valida que la inercia institucional capturada por los rezagos temporales contiene suficiente señal para habilitar una gestión curricular proactiva.</w:t>
      </w:r>
    </w:p>
    <w:p xmlns:wp14="http://schemas.microsoft.com/office/word/2010/wordml" w:rsidP="36A5FF65" w14:paraId="3EF9DA27" wp14:textId="77777777">
      <w:pPr>
        <w:jc w:val="both"/>
        <w:rPr>
          <w:rStyle w:val="17"/>
          <w:lang w:val="en-US"/>
        </w:rPr>
      </w:pPr>
      <w:r>
        <w:t>La contribución metodológica más relevante es la documentación sistemática de seis tipos de fuga de información con impacto conjunto ΔR² ≈ 0,22, inédita en la literatura EDM para datos de exámenes de estado con estructura long-format y publicación anual. La comparación entre modelos confirma que LightGBM supera a los baselines lineales en 7,4 % de RMSE, y que el Transformer no resulta competitivo por cuatro factores estructurales consistentes con la evidencia de [11] y [12]. El módulo de inferencia entrega flags de confianza informativos con un diferencial de 2,3 puntos de RMSE entre categorías. Para reproducibilidad, el repositorio documenta la ejecución desde los CSVs procesados y los artefactos regenerables.</w:t>
      </w:r>
    </w:p>
    <w:p xmlns:wp14="http://schemas.microsoft.com/office/word/2010/wordml" w:rsidP="36A5FF65" w14:paraId="76EBF76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6.2 Trabajo Futuro</w:t>
      </w:r>
    </w:p>
    <w:p xmlns:wp14="http://schemas.microsoft.com/office/word/2010/wordml" w:rsidP="36A5FF65" w14:paraId="5F7BC117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Seis líneas de extensión se identifican como prioritarias. TF1: incorporar variables socioeconómicas externas (Sisbén, IDH municipal, gasto por estudiante) para reducir el error en departamentos como Sucre, Chocó y Putumayo. TF2: extender a predicción multi-horizonte (t+1 y t+2) para ampliar la ventana de intervención curricular. TF3: dotar al Transformer de embeddings aprendibles para NBC y NOMBRE_PRUEBA y repetir el experimento bajo las mismas condiciones. TF4: habilitar fine-tuning anual incremental sin reentrenamiento completo. TF5: realizar análisis formal de equidad por región y modalidad antes de cualquier despliegue institucional. TF6: ejecutar validación walk-forward multi-split para reportar intervalos de confianza formales sobre las diferencias entre modelos.</w:t>
      </w:r>
    </w:p>
    <w:p xmlns:wp14="http://schemas.microsoft.com/office/word/2010/wordml" w:rsidP="36A5FF65" w14:paraId="1E120EB9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Agradecimientos</w:t>
      </w:r>
    </w:p>
    <w:p xmlns:wp14="http://schemas.microsoft.com/office/word/2010/wordml" w:rsidP="36A5FF65" w14:paraId="6C94BA71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autores agradecen al ICFES por la publicación abierta de los microdatos agregados de Saber Pro 2020–2024.</w:t>
      </w:r>
    </w:p>
    <w:p xmlns:wp14="http://schemas.microsoft.com/office/word/2010/wordml" w:rsidP="36A5FF65" w14:paraId="4EB08F2C" wp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Referencias</w:t>
      </w:r>
    </w:p>
    <w:p xmlns:wp14="http://schemas.microsoft.com/office/word/2010/wordml" w:rsidP="36A5FF65" w14:paraId="47DFC23C" wp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[1] ICFES, “Resultados Saber Pro 2020–2024,” Instituto Colombiano para la Evaluación de la Educación, Bogotá, Colombia, 2024.</w:t>
      </w:r>
    </w:p>
    <w:p xmlns:wp14="http://schemas.microsoft.com/office/word/2010/wordml" w:rsidP="473E729D" w14:paraId="188110D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[2] T. Chen y C. Guestrin, “XGBoost: A scalable tree boosting system,” en Proc. 22nd ACM SIGKDD, 2016, pp. 785–794.</w:t>
      </w:r>
    </w:p>
    <w:p xmlns:wp14="http://schemas.microsoft.com/office/word/2010/wordml" w:rsidP="473E729D" w14:paraId="6E25916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[3] G. Ke et al., “LightGBM: A highly efficient gradient boosting decision tree,” en Adv. Neural Inf. Process. Syst., vol. 30, 2017.</w:t>
      </w:r>
    </w:p>
    <w:p xmlns:wp14="http://schemas.microsoft.com/office/word/2010/wordml" w:rsidP="473E729D" w14:paraId="7B98E3B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[4] T. Akiba et al., “Optuna: A next-generation hyperparameter optimization framework,” en Proc. 25th ACM SIGKDD, 2019.</w:t>
      </w:r>
    </w:p>
    <w:p xmlns:wp14="http://schemas.microsoft.com/office/word/2010/wordml" w:rsidP="473E729D" w14:paraId="2DA0D6EC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[5] A. Vaswani et al., “Attention is all you need,” en Adv. Neural Inf. Process. Syst., vol. 30, 2017.</w:t>
      </w:r>
    </w:p>
    <w:p xmlns:wp14="http://schemas.microsoft.com/office/word/2010/wordml" w:rsidP="473E729D" w14:paraId="015817F2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[6] S. M. Lundberg y S.-I. Lee, “A unified approach to interpreting model predictions,” en Adv. Neural Inf. Process. Syst., vol. 30, 2017.</w:t>
      </w:r>
    </w:p>
    <w:p xmlns:wp14="http://schemas.microsoft.com/office/word/2010/wordml" w:rsidP="473E729D" w14:paraId="1DE9E02B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[7] C. Romero y S. Ventura, “Educational data mining: A review of the state of the art,” IEEE Trans. Syst., Man, Cybern. C, vol. 40, n.º 6, pp. 601–618, 2010.</w:t>
      </w:r>
    </w:p>
    <w:p xmlns:wp14="http://schemas.microsoft.com/office/word/2010/wordml" w:rsidP="473E729D" w14:paraId="03AA103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[8] J. Behr et al., “Early prediction of university dropouts — A random forest approach,” J. Educ. Comput. Res., vol. 60, n.º 5, pp. 1109–1148, 2022.</w:t>
      </w:r>
    </w:p>
    <w:p xmlns:wp14="http://schemas.microsoft.com/office/word/2010/wordml" w:rsidP="473E729D" w14:paraId="207385B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[9] S. Kaufman, S. Rosset y C. Perlich, “Leakage in data mining: Formulation, detection, and avoidance,” ACM Trans. Knowl. Discov. Data, vol. 6, n.º 4, 2012.</w:t>
      </w:r>
    </w:p>
    <w:p xmlns:wp14="http://schemas.microsoft.com/office/word/2010/wordml" w:rsidP="473E729D" w14:paraId="70278599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[10] Y. Gorishniy et al., “Revisiting deep learning models for tabular data,” en Adv. Neural Inf. Process. Syst., vol. 34, 2021.</w:t>
      </w:r>
    </w:p>
    <w:p xmlns:wp14="http://schemas.microsoft.com/office/word/2010/wordml" w:rsidP="473E729D" w14:paraId="3D41E0E6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[11] L. Grinsztajn, E. Oyallon y G. Varoquaux, “Why do tree-based models still outperform deep learning on typical tabular data?,” en Adv. Neural Inf. Process. Syst., vol. 35, 2022.</w:t>
      </w:r>
    </w:p>
    <w:p xmlns:wp14="http://schemas.microsoft.com/office/word/2010/wordml" w14:paraId="05F7D697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[12] R. Shwartz-Ziv y A. Armon, “Tabular data: Deep learning is not all you need,” Inf. Fusion, vol. 81, pp. 84–90, 2022.</w:t>
      </w:r>
    </w:p>
    <w:p xmlns:wp14="http://schemas.microsoft.com/office/word/2010/wordml" w14:paraId="231611DA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[13] F. Pedregosa et al., “Scikit-learn: Machine learning in Python,” J. Mach. Learn. Res., vol. 12, pp. 2825–2830, 2011.</w:t>
      </w:r>
    </w:p>
    <w:p xmlns:wp14="http://schemas.microsoft.com/office/word/2010/wordml" w:rsidP="473E729D" w14:paraId="1E5EDC24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[14] A. Paszke et al., “PyTorch: An imperative style, high-performance deep learning library,” en Adv. Neural Inf. Process. Syst., vol. 32, 2019.</w:t>
      </w:r>
    </w:p>
    <w:p xmlns:wp14="http://schemas.microsoft.com/office/word/2010/wordml" w:rsidP="473E729D" w14:paraId="45165E6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[15] Ministerio de Educación Nacional, “Lineamientos SACES,” MEN, Bogotá, Colombia, 2023.</w:t>
      </w:r>
    </w:p>
    <w:p xmlns:wp14="http://schemas.microsoft.com/office/word/2010/wordml" w:rsidP="473E729D" w14:paraId="708605DE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[16] J. C. Rangel-Mora y A. Pérez-Roa, “Predicción del rendimiento en pruebas Saber mediante minería de datos: revisión sistemática,” Rev. Colomb. Educ., n.º 82, 2021.</w:t>
      </w:r>
    </w:p>
    <w:p xmlns:wp14="http://schemas.microsoft.com/office/word/2010/wordml" w14:paraId="0E3DBEDF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[17] C. Guo y F. Berkhahn, “Entity embeddings of categorical variables,” arXiv:1604.06737, 2016.</w:t>
      </w:r>
    </w:p>
    <w:p xmlns:wp14="http://schemas.microsoft.com/office/word/2010/wordml" w:rsidP="473E729D" w14:paraId="15EAA365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[18] P. Cerda, G. Varoquaux y B. Kégl, “Similarity encoding for learning with dirty categorical variables,” Mach. Learn., vol. 107, 2018.</w:t>
      </w:r>
    </w:p>
    <w:p xmlns:wp14="http://schemas.microsoft.com/office/word/2010/wordml" w:rsidP="473E729D" w14:paraId="6C8F92DF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[19] T. Hastie, R. Tibshirani y J. Friedman, The Elements of Statistical Learning, 2.ª ed. Springer, 2009.</w:t>
      </w:r>
    </w:p>
    <w:p xmlns:wp14="http://schemas.microsoft.com/office/word/2010/wordml" w:rsidP="473E729D" w14:paraId="3B0E5298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[20] Anónimo, “Where to aim? Factors that influence the performance of Brazilian secondary schools,” en Proc. EDM, 2020.</w:t>
      </w:r>
    </w:p>
    <w:p xmlns:wp14="http://schemas.microsoft.com/office/word/2010/wordml" w14:paraId="1295AD52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[21] D. Chafla, M. Morocho y J. Ortega, “Machine learning models for academic performance prediction with explainability,” Frontiers in Education, vol. 10, 2025.</w:t>
      </w:r>
    </w:p>
    <w:p xmlns:wp14="http://schemas.microsoft.com/office/word/2010/wordml" w:rsidP="473E729D" w14:paraId="6765FFC7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[22] S. Acıslı-Celik y C. M. Yesilkanat, “Predicting science achievement scores with ML: PISA 2015–2018,” Neural Comput. Appl., vol. 35, 2023.</w:t>
      </w:r>
    </w:p>
    <w:p xmlns:wp14="http://schemas.microsoft.com/office/word/2010/wordml" w:rsidP="473E729D" w14:paraId="255A3E6D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[23] G. Rasch, “An item analysis which takes individual differences into account,” British J. Math. Stat. Psychol., vol. 19, n.º 1, pp. 49–57, 1966.</w:t>
      </w:r>
    </w:p>
    <w:p xmlns:wp14="http://schemas.microsoft.com/office/word/2010/wordml" w:rsidP="473E729D" w14:paraId="016ECDFC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[24] A. E. Hoerl y R. W. Kennard, “Ridge regression: Biased estimation for nonorthogonal problems,” Technometrics, vol. 12, n.º 1, pp. 55–67, 1970.</w:t>
      </w:r>
    </w:p>
    <w:p xmlns:wp14="http://schemas.microsoft.com/office/word/2010/wordml" w:rsidP="473E729D" w14:paraId="0CC51E40" wp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[25] R. Tibshirani, “Regression shrinkage and selection via the lasso,” J. Royal Stat. Soc. B, vol. 58, n.º 1, pp. 267–288, 1996.</w:t>
      </w:r>
    </w:p>
    <w:p xmlns:wp14="http://schemas.microsoft.com/office/word/2010/wordml" w14:paraId="7BB120C4" wp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[26] A. López-García et al., “Early detection of students’ failure using machine learning techniques,” Operations Research Perspectives, vol. 11, 2023.</w:t>
      </w:r>
    </w:p>
    <w:sectPr>
      <w:headerReference w:type="first" r:id="rId7"/>
      <w:footerReference w:type="first" r:id="rId8"/>
      <w:headerReference w:type="default" r:id="rId5"/>
      <w:headerReference w:type="even" r:id="rId6"/>
      <w:pgSz w:w="12240" w:h="15840" w:orient="portrait"/>
      <w:pgMar w:top="1417" w:right="1701" w:bottom="1417" w:left="1701" w:header="708" w:footer="708" w:gutter="0"/>
      <w:pgNumType w:start="3"/>
      <w:cols w:space="708" w:num="1"/>
      <w:titlePg/>
      <w:docGrid w:linePitch="360" w:charSpace="0"/>
      <w:footerReference w:type="default" r:id="R497aee37872648f0"/>
      <w:footerReference w:type="even" r:id="R18526df984d849b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578717"/>
      <w:docPartObj>
        <w:docPartGallery w:val="autotext"/>
      </w:docPartObj>
    </w:sdtPr>
    <w:sdtContent>
      <w:p xmlns:wp14="http://schemas.microsoft.com/office/word/2010/wordml" w14:paraId="3F423570" wp14:textId="77777777">
        <w:pPr>
          <w:pStyle w:val="7"/>
          <w:rPr>
            <w:sz w:val="20"/>
          </w:rPr>
        </w:pPr>
        <w:r>
          <w:rPr>
            <w:sz w:val="20"/>
          </w:rPr>
          <w:t>Fecha de recepción: septiembre 1, 2020 / Fecha de aceptación: octubre 5, 2020</w:t>
        </w:r>
      </w:p>
      <w:p xmlns:wp14="http://schemas.microsoft.com/office/word/2010/wordml" w14:paraId="6A08D909" wp14:textId="77777777">
        <w:pPr>
          <w:pStyle w:val="7"/>
          <w:jc w:val="center"/>
        </w:pPr>
      </w:p>
    </w:sdtContent>
  </w:sdt>
  <w:p xmlns:wp14="http://schemas.microsoft.com/office/word/2010/wordml" w14:paraId="3780FA6E" wp14:textId="77777777">
    <w:pPr>
      <w:pStyle w:val="7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3E729D" w:rsidTr="473E729D" w14:paraId="6E207A22">
      <w:trPr>
        <w:trHeight w:val="300"/>
      </w:trPr>
      <w:tc>
        <w:tcPr>
          <w:tcW w:w="2945" w:type="dxa"/>
          <w:tcMar/>
        </w:tcPr>
        <w:p w:rsidR="473E729D" w:rsidP="473E729D" w:rsidRDefault="473E729D" w14:paraId="3D906825" w14:textId="6AF8BEC9">
          <w:pPr>
            <w:pStyle w:val="6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473E729D" w:rsidP="473E729D" w:rsidRDefault="473E729D" w14:paraId="5752338E" w14:textId="1A5066E5">
          <w:pPr>
            <w:pStyle w:val="6"/>
            <w:bidi w:val="0"/>
            <w:jc w:val="center"/>
          </w:pPr>
        </w:p>
      </w:tc>
      <w:tc>
        <w:tcPr>
          <w:tcW w:w="2945" w:type="dxa"/>
          <w:tcMar/>
        </w:tcPr>
        <w:p w:rsidR="473E729D" w:rsidP="473E729D" w:rsidRDefault="473E729D" w14:paraId="15F4523A" w14:textId="39D571DA">
          <w:pPr>
            <w:pStyle w:val="6"/>
            <w:bidi w:val="0"/>
            <w:ind w:right="-115"/>
            <w:jc w:val="right"/>
          </w:pPr>
        </w:p>
      </w:tc>
    </w:tr>
  </w:tbl>
  <w:p w:rsidR="473E729D" w:rsidP="473E729D" w:rsidRDefault="473E729D" w14:paraId="5EB20CE7" w14:textId="639BEF31">
    <w:pPr>
      <w:pStyle w:val="7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3E729D" w:rsidTr="473E729D" w14:paraId="32E4FE96">
      <w:trPr>
        <w:trHeight w:val="300"/>
      </w:trPr>
      <w:tc>
        <w:tcPr>
          <w:tcW w:w="2945" w:type="dxa"/>
          <w:tcMar/>
        </w:tcPr>
        <w:p w:rsidR="473E729D" w:rsidP="473E729D" w:rsidRDefault="473E729D" w14:paraId="225C7A9A" w14:textId="6276DE1A">
          <w:pPr>
            <w:pStyle w:val="6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473E729D" w:rsidP="473E729D" w:rsidRDefault="473E729D" w14:paraId="47FBA2BA" w14:textId="1858D725">
          <w:pPr>
            <w:pStyle w:val="6"/>
            <w:bidi w:val="0"/>
            <w:jc w:val="center"/>
          </w:pPr>
        </w:p>
      </w:tc>
      <w:tc>
        <w:tcPr>
          <w:tcW w:w="2945" w:type="dxa"/>
          <w:tcMar/>
        </w:tcPr>
        <w:p w:rsidR="473E729D" w:rsidP="473E729D" w:rsidRDefault="473E729D" w14:paraId="75BDF01C" w14:textId="0B664CB4">
          <w:pPr>
            <w:pStyle w:val="6"/>
            <w:bidi w:val="0"/>
            <w:ind w:right="-115"/>
            <w:jc w:val="right"/>
          </w:pPr>
        </w:p>
      </w:tc>
    </w:tr>
  </w:tbl>
  <w:p w:rsidR="473E729D" w:rsidP="473E729D" w:rsidRDefault="473E729D" w14:paraId="69AF5CCB" w14:textId="42C3DD17">
    <w:pPr>
      <w:pStyle w:val="7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21"/>
      <w:gridCol w:w="2307"/>
    </w:tblGrid>
    <w:tr xmlns:wp14="http://schemas.microsoft.com/office/word/2010/wordml" w14:paraId="273ABDA2" wp14:textId="777777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521" w:type="dxa"/>
        </w:tcPr>
        <w:p w14:paraId="097B0769" wp14:textId="77777777">
          <w:pPr>
            <w:pStyle w:val="6"/>
            <w:rPr>
              <w:lang w:val="en-US"/>
            </w:rPr>
          </w:pPr>
          <w:r>
            <w:rPr>
              <w:lang w:val="en-US"/>
            </w:rPr>
            <w:t xml:space="preserve">D. Beltrán et al. / Abstraction &amp; Application </w:t>
          </w:r>
          <w:r>
            <w:rPr>
              <w:b/>
              <w:lang w:val="en-US"/>
            </w:rPr>
            <w:t>41</w:t>
          </w:r>
          <w:r>
            <w:rPr>
              <w:lang w:val="en-US"/>
            </w:rPr>
            <w:t xml:space="preserve"> (2023) 3 - 16</w:t>
          </w:r>
        </w:p>
      </w:tc>
      <w:tc>
        <w:tcPr>
          <w:tcW w:w="2307" w:type="dxa"/>
        </w:tcPr>
        <w:p w14:paraId="4FD80E8D" wp14:textId="77777777">
          <w:pPr>
            <w:pStyle w:val="6"/>
            <w:jc w:val="right"/>
            <w:rPr>
              <w:rFonts w:hint="default"/>
              <w:lang w:val="es-CO"/>
            </w:rPr>
          </w:pPr>
        </w:p>
        <w:p w14:paraId="2EB31509" wp14:textId="77777777">
          <w:pPr>
            <w:pStyle w:val="6"/>
            <w:jc w:val="right"/>
          </w:pPr>
        </w:p>
      </w:tc>
    </w:tr>
  </w:tbl>
  <w:p xmlns:wp14="http://schemas.microsoft.com/office/word/2010/wordml" w14:paraId="1389AEA5" wp14:textId="77777777">
    <w:pPr>
      <w:pStyle w:val="6"/>
    </w:pPr>
  </w:p>
  <w:p xmlns:wp14="http://schemas.microsoft.com/office/word/2010/wordml" w14:paraId="23FDABA9" wp14:textId="77777777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40F23D78" wp14:textId="77777777">
    <w:pPr>
      <w:pStyle w:val="6"/>
    </w:pPr>
    <w:sdt>
      <w:sdtPr>
        <w:id w:val="-1765987065"/>
        <w:docPartObj>
          <w:docPartGallery w:val="autotext"/>
        </w:docPartObj>
      </w:sdtPr>
      <w:sdtContent>
        <w:r>
          <w:rPr>
            <w:rFonts w:hint="default"/>
            <w:lang w:val="es-CO"/>
          </w:rPr>
          <w:t xml:space="preserve">Predicción del promedio  global de Saber Pro mediante LightGBM y auditorría de fuga temporal: Un estudio a nivel de programa académico en Colombia </w:t>
        </w:r>
      </w:sdtContent>
    </w:sdt>
  </w:p>
  <w:p xmlns:wp14="http://schemas.microsoft.com/office/word/2010/wordml" w14:paraId="282CEDBA" wp14:textId="7777777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tbl>
    <w:tblPr>
      <w:tblStyle w:val="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24"/>
      <w:gridCol w:w="3304"/>
    </w:tblGrid>
    <w:tr xmlns:wp14="http://schemas.microsoft.com/office/word/2010/wordml" w14:paraId="2C68E7BA" wp14:textId="777777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24" w:type="dxa"/>
        </w:tcPr>
        <w:p w14:paraId="3FB65ADC" wp14:textId="77777777">
          <w:pPr>
            <w:pStyle w:val="6"/>
            <w:rPr>
              <w:lang w:val="en-US"/>
            </w:rPr>
          </w:pPr>
        </w:p>
        <w:p w14:paraId="51C87AFE" wp14:textId="77777777">
          <w:pPr>
            <w:pStyle w:val="6"/>
            <w:rPr>
              <w:lang w:val="en-US"/>
            </w:rPr>
          </w:pPr>
        </w:p>
        <w:p w14:paraId="132350A5" wp14:textId="77777777">
          <w:pPr>
            <w:pStyle w:val="6"/>
            <w:rPr>
              <w:lang w:val="en-US"/>
            </w:rPr>
          </w:pPr>
        </w:p>
        <w:p w14:paraId="4CD992C5" wp14:textId="77777777">
          <w:pPr>
            <w:pStyle w:val="6"/>
            <w:rPr>
              <w:lang w:val="en-US"/>
            </w:rPr>
          </w:pPr>
          <w:r>
            <w:rPr>
              <w:lang w:val="en-US"/>
            </w:rPr>
            <w:t>Abstraction &amp; Application (202</w:t>
          </w:r>
          <w:r>
            <w:rPr>
              <w:rFonts w:hint="default"/>
              <w:lang w:val="es-CO"/>
            </w:rPr>
            <w:t>6</w:t>
          </w:r>
          <w:r>
            <w:rPr>
              <w:lang w:val="en-US"/>
            </w:rPr>
            <w:t xml:space="preserve">) </w:t>
          </w:r>
        </w:p>
      </w:tc>
      <w:tc>
        <w:tcPr>
          <w:tcW w:w="3304" w:type="dxa"/>
        </w:tcPr>
        <w:p w14:paraId="51E07EAF" wp14:textId="77777777">
          <w:pPr>
            <w:pStyle w:val="6"/>
            <w:jc w:val="right"/>
          </w:pPr>
          <w:r>
            <w:t xml:space="preserve">UADY  </w:t>
          </w:r>
          <w:r>
            <w:rPr>
              <w:lang w:val="en-US"/>
            </w:rPr>
            <w:drawing>
              <wp:inline xmlns:wp14="http://schemas.microsoft.com/office/word/2010/wordprocessingDrawing" distT="0" distB="0" distL="0" distR="0" wp14:anchorId="185771DF" wp14:editId="7777777">
                <wp:extent cx="433705" cy="751205"/>
                <wp:effectExtent l="0" t="0" r="4445" b="0"/>
                <wp:docPr id="4" name="Imagen 4" descr="C:\Users\mramirez\Documents\2016\sem2-2016\Abstraction &amp; Application\Template\uad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C:\Users\mramirez\Documents\2016\sem2-2016\Abstraction &amp; Application\Template\uad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457966" cy="792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14:paraId="4F8E907A" wp14:textId="77777777">
    <w:pPr>
      <w:pStyle w:val="6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bordersDoNotSurroundHeader w:val="0"/>
  <w:bordersDoNotSurroundFooter w:val="0"/>
  <w:trackRevisions w:val="false"/>
  <w:documentProtection w:enforcement="0"/>
  <w:defaultTabStop w:val="708"/>
  <w:hyphenationZone w:val="425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CD"/>
    <w:rsid w:val="000178AF"/>
    <w:rsid w:val="00035DF3"/>
    <w:rsid w:val="000566BC"/>
    <w:rsid w:val="0007482E"/>
    <w:rsid w:val="000A266E"/>
    <w:rsid w:val="000B2189"/>
    <w:rsid w:val="000B4746"/>
    <w:rsid w:val="000D2C26"/>
    <w:rsid w:val="000F27BA"/>
    <w:rsid w:val="0011308C"/>
    <w:rsid w:val="00136702"/>
    <w:rsid w:val="00144FB7"/>
    <w:rsid w:val="001A0190"/>
    <w:rsid w:val="001A0AE0"/>
    <w:rsid w:val="001A4218"/>
    <w:rsid w:val="00204BC1"/>
    <w:rsid w:val="002056E9"/>
    <w:rsid w:val="00232E02"/>
    <w:rsid w:val="00241745"/>
    <w:rsid w:val="00247B94"/>
    <w:rsid w:val="00276974"/>
    <w:rsid w:val="002A581B"/>
    <w:rsid w:val="002B0C1A"/>
    <w:rsid w:val="002C2899"/>
    <w:rsid w:val="002D7C46"/>
    <w:rsid w:val="002E2E33"/>
    <w:rsid w:val="003148F9"/>
    <w:rsid w:val="0031679F"/>
    <w:rsid w:val="00316941"/>
    <w:rsid w:val="00321897"/>
    <w:rsid w:val="003312E1"/>
    <w:rsid w:val="003372AD"/>
    <w:rsid w:val="00347E4A"/>
    <w:rsid w:val="00354B44"/>
    <w:rsid w:val="00383059"/>
    <w:rsid w:val="003833BE"/>
    <w:rsid w:val="0038376B"/>
    <w:rsid w:val="00387225"/>
    <w:rsid w:val="00422AE9"/>
    <w:rsid w:val="00433632"/>
    <w:rsid w:val="004478E4"/>
    <w:rsid w:val="0046319C"/>
    <w:rsid w:val="00493E89"/>
    <w:rsid w:val="004A3DB6"/>
    <w:rsid w:val="004A7BD8"/>
    <w:rsid w:val="00505ED3"/>
    <w:rsid w:val="00512430"/>
    <w:rsid w:val="00537C1D"/>
    <w:rsid w:val="00543415"/>
    <w:rsid w:val="00562712"/>
    <w:rsid w:val="005656F5"/>
    <w:rsid w:val="005A321A"/>
    <w:rsid w:val="005F1C18"/>
    <w:rsid w:val="006031A8"/>
    <w:rsid w:val="00617E5B"/>
    <w:rsid w:val="006413B2"/>
    <w:rsid w:val="00642B2A"/>
    <w:rsid w:val="006632C2"/>
    <w:rsid w:val="006810AE"/>
    <w:rsid w:val="0068692F"/>
    <w:rsid w:val="006950BA"/>
    <w:rsid w:val="00696124"/>
    <w:rsid w:val="006A15EE"/>
    <w:rsid w:val="006B617A"/>
    <w:rsid w:val="006D1C29"/>
    <w:rsid w:val="006E1E0A"/>
    <w:rsid w:val="006F72A8"/>
    <w:rsid w:val="007159E6"/>
    <w:rsid w:val="00771EEC"/>
    <w:rsid w:val="007837E2"/>
    <w:rsid w:val="00785157"/>
    <w:rsid w:val="00797CD9"/>
    <w:rsid w:val="007B613E"/>
    <w:rsid w:val="007C2273"/>
    <w:rsid w:val="008216F9"/>
    <w:rsid w:val="00852A1A"/>
    <w:rsid w:val="00895983"/>
    <w:rsid w:val="008B0BCF"/>
    <w:rsid w:val="008F7405"/>
    <w:rsid w:val="009020F9"/>
    <w:rsid w:val="00902151"/>
    <w:rsid w:val="009076C0"/>
    <w:rsid w:val="009327CC"/>
    <w:rsid w:val="00940814"/>
    <w:rsid w:val="009518B9"/>
    <w:rsid w:val="00954DFB"/>
    <w:rsid w:val="0098426C"/>
    <w:rsid w:val="009D16A6"/>
    <w:rsid w:val="009D7DA3"/>
    <w:rsid w:val="009E09B2"/>
    <w:rsid w:val="00A068A6"/>
    <w:rsid w:val="00A8027F"/>
    <w:rsid w:val="00A81754"/>
    <w:rsid w:val="00AA2FF6"/>
    <w:rsid w:val="00AA6CFE"/>
    <w:rsid w:val="00AC27F4"/>
    <w:rsid w:val="00AF4BF9"/>
    <w:rsid w:val="00AF5D6F"/>
    <w:rsid w:val="00B070ED"/>
    <w:rsid w:val="00B1337C"/>
    <w:rsid w:val="00B52E54"/>
    <w:rsid w:val="00B715FD"/>
    <w:rsid w:val="00B81BFF"/>
    <w:rsid w:val="00BA1E63"/>
    <w:rsid w:val="00BA25D6"/>
    <w:rsid w:val="00BE486D"/>
    <w:rsid w:val="00BE6CF2"/>
    <w:rsid w:val="00C2429A"/>
    <w:rsid w:val="00C26EBB"/>
    <w:rsid w:val="00C65D07"/>
    <w:rsid w:val="00C7650B"/>
    <w:rsid w:val="00C95798"/>
    <w:rsid w:val="00C969F1"/>
    <w:rsid w:val="00CA0979"/>
    <w:rsid w:val="00CC2318"/>
    <w:rsid w:val="00CF2CE6"/>
    <w:rsid w:val="00D355AE"/>
    <w:rsid w:val="00D57BF6"/>
    <w:rsid w:val="00D75259"/>
    <w:rsid w:val="00DA4300"/>
    <w:rsid w:val="00DC1346"/>
    <w:rsid w:val="00DD6ABE"/>
    <w:rsid w:val="00DE52DA"/>
    <w:rsid w:val="00E03CA8"/>
    <w:rsid w:val="00E34D0D"/>
    <w:rsid w:val="00E462E9"/>
    <w:rsid w:val="00E517AC"/>
    <w:rsid w:val="00E639E7"/>
    <w:rsid w:val="00E70EEA"/>
    <w:rsid w:val="00E83A59"/>
    <w:rsid w:val="00F25A59"/>
    <w:rsid w:val="00F345CA"/>
    <w:rsid w:val="00F41DED"/>
    <w:rsid w:val="00F52987"/>
    <w:rsid w:val="00F66156"/>
    <w:rsid w:val="00F75A76"/>
    <w:rsid w:val="00FB33CD"/>
    <w:rsid w:val="00FB545B"/>
    <w:rsid w:val="00FC4A8A"/>
    <w:rsid w:val="00FD0DBF"/>
    <w:rsid w:val="00FE2640"/>
    <w:rsid w:val="0666039B"/>
    <w:rsid w:val="2E047574"/>
    <w:rsid w:val="342BDDA3"/>
    <w:rsid w:val="342BDDA3"/>
    <w:rsid w:val="36A5FF65"/>
    <w:rsid w:val="42BDCB48"/>
    <w:rsid w:val="473E729D"/>
    <w:rsid w:val="4A63C43C"/>
    <w:rsid w:val="4B915CC7"/>
    <w:rsid w:val="60A79DC1"/>
    <w:rsid w:val="617C5E13"/>
    <w:rsid w:val="65904230"/>
    <w:rsid w:val="7118E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8D3697"/>
  <w15:docId w15:val="{E89F9E52-5C94-428B-89EF-D63C9AF9EB0A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 w:semiHidden="0" w:unhideWhenUsed="0"/>
    <w:lsdException w:name="Balloon Text" w:uiPriority="99"/>
    <w:lsdException w:name="Table Grid" w:uiPriority="39" w:semiHidden="0" w:unhideWhenUsed="0" w:qFormat="1"/>
    <w:lsdException w:name="Table Theme" w:uiPriority="99" w:semiHidden="0" w:unhideWhenUsed="0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Body Text"/>
    <w:basedOn w:val="1"/>
    <w:link w:val="16"/>
    <w:qFormat/>
    <w:uiPriority w:val="0"/>
    <w:pPr>
      <w:spacing w:after="0" w:line="228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 w:customStyle="1">
    <w:name w:val="Encabezado Car"/>
    <w:basedOn w:val="2"/>
    <w:link w:val="6"/>
    <w:qFormat/>
    <w:uiPriority w:val="99"/>
  </w:style>
  <w:style w:type="character" w:styleId="12" w:customStyle="1">
    <w:name w:val="Pie de página Car"/>
    <w:basedOn w:val="2"/>
    <w:link w:val="7"/>
    <w:qFormat/>
    <w:uiPriority w:val="99"/>
  </w:style>
  <w:style w:type="character" w:styleId="13" w:customStyle="1">
    <w:name w:val="Mención sin resolver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4" w:customStyle="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s-MX" w:eastAsia="en-US" w:bidi="ar-SA"/>
    </w:rPr>
  </w:style>
  <w:style w:type="paragraph" w:styleId="15" w:customStyle="1">
    <w:name w:val="key words"/>
    <w:qFormat/>
    <w:uiPriority w:val="0"/>
    <w:pPr>
      <w:spacing w:after="120" w:line="240" w:lineRule="auto"/>
      <w:ind w:firstLine="288"/>
      <w:jc w:val="both"/>
    </w:pPr>
    <w:rPr>
      <w:rFonts w:ascii="Times New Roman" w:hAnsi="Times New Roman" w:eastAsia="SimSun" w:cs="Times New Roman"/>
      <w:b/>
      <w:bCs/>
      <w:i/>
      <w:iCs/>
      <w:sz w:val="18"/>
      <w:szCs w:val="18"/>
      <w:lang w:val="en-US" w:eastAsia="en-US" w:bidi="ar-SA"/>
    </w:rPr>
  </w:style>
  <w:style w:type="character" w:styleId="16" w:customStyle="1">
    <w:name w:val="Texto independiente Car"/>
    <w:basedOn w:val="2"/>
    <w:link w:val="8"/>
    <w:qFormat/>
    <w:uiPriority w:val="0"/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character" w:styleId="17" w:customStyle="1">
    <w:name w:val="tlid-translation"/>
    <w:basedOn w:val="2"/>
    <w:qFormat/>
    <w:uiPriority w:val="0"/>
  </w:style>
  <w:style w:type="character" w:styleId="18" w:customStyle="1">
    <w:name w:val="rynqvb"/>
    <w:basedOn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Relationship Id="R497aee37872648f0" Type="http://schemas.openxmlformats.org/officeDocument/2006/relationships/footer" Target="footer2.xml"/><Relationship Id="R18526df984d849b3" Type="http://schemas.openxmlformats.org/officeDocument/2006/relationships/footer" Target="footer3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2020-08-25T06:42:00.0000000Z</dcterms:created>
  <dc:creator>Francisco Alejandro Madera Ramírez</dc:creator>
  <lastModifiedBy>NATHALIA OROZCO MORALES</lastModifiedBy>
  <lastPrinted>2020-08-25T00:11:00.0000000Z</lastPrinted>
  <dcterms:modified xsi:type="dcterms:W3CDTF">2026-07-03T18:21:58.0618949Z</dcterms:modified>
  <revision>33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eyJoZGlkIjoiMTYyZDIzM2ExOTJiZGUzZDQzZGQ4ZTMwZGYxMTZiMmUiLCJ1c2VySWQiOiIyMTk5MDIzOTgxMTA2In0=</vt:lpwstr>
  </property>
  <property fmtid="{D5CDD505-2E9C-101B-9397-08002B2CF9AE}" pid="3" name="KSOProductBuildVer">
    <vt:lpwstr>3082-12.1.0.26880</vt:lpwstr>
  </property>
  <property fmtid="{D5CDD505-2E9C-101B-9397-08002B2CF9AE}" pid="4" name="ICV">
    <vt:lpwstr>2AA1ECEDCF2046C9AF18151D06CC0EBD_13</vt:lpwstr>
  </property>
</Properties>
</file>