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mc:Ignorable="w14 w15 wp14">
  <w:body>
    <w:p xmlns:wp14="http://schemas.microsoft.com/office/word/2010/wordml" w14:paraId="12221C3E" wp14:textId="77777777">
      <w:pPr>
        <w:spacing w:before="0" w:after="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Predicción del PROMEDIO_GLOBAL de Saber Pro mediante LightGBM y auditoría de fuga temporal: un estudio a nivel de programa académico en Colombia</w:t>
      </w:r>
    </w:p>
    <w:p xmlns:wp14="http://schemas.microsoft.com/office/word/2010/wordml" w14:paraId="3FF6891B" wp14:textId="77777777">
      <w:pPr>
        <w:spacing w:before="0" w:after="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xmlns:wp14="http://schemas.microsoft.com/office/word/2010/wordml" w14:paraId="446DD1C5" wp14:textId="77777777">
      <w:pPr>
        <w:spacing w:before="40" w:after="40"/>
        <w:jc w:val="center"/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Predicting Saber Pro PROMEDIO_GLOBAL with LightGBM and temporal leakage auditing: a program-level study in Colombia</w:t>
      </w:r>
    </w:p>
    <w:p xmlns:wp14="http://schemas.microsoft.com/office/word/2010/wordml" w14:paraId="3497AAC0" wp14:textId="77777777">
      <w:pPr>
        <w:spacing w:before="120" w:after="40"/>
        <w:jc w:val="center"/>
      </w:pPr>
      <w:r>
        <w:rPr>
          <w:rFonts w:ascii="Times New Roman" w:hAnsi="Times New Roman" w:cs="Times New Roman"/>
          <w:sz w:val="24"/>
          <w:szCs w:val="24"/>
        </w:rPr>
        <w:t>[Autores]</w:t>
      </w:r>
    </w:p>
    <w:p xmlns:wp14="http://schemas.microsoft.com/office/word/2010/wordml" w14:paraId="24F40184" wp14:textId="77777777">
      <w:pPr>
        <w:spacing w:before="0" w:after="40"/>
        <w:jc w:val="center"/>
      </w:pPr>
      <w:r>
        <w:rPr>
          <w:rFonts w:ascii="Times New Roman" w:hAnsi="Times New Roman" w:cs="Times New Roman"/>
          <w:sz w:val="20"/>
          <w:szCs w:val="20"/>
        </w:rPr>
        <w:t xml:space="preserve">UNIMINUTO, </w:t>
      </w:r>
      <w:r>
        <w:rPr>
          <w:rFonts w:hint="default" w:ascii="Times New Roman" w:hAnsi="Times New Roman" w:cs="Times New Roman"/>
          <w:sz w:val="20"/>
          <w:szCs w:val="20"/>
          <w:lang w:val="es-CO"/>
        </w:rPr>
        <w:t>Bogotá</w:t>
      </w:r>
      <w:r>
        <w:rPr>
          <w:rFonts w:ascii="Times New Roman" w:hAnsi="Times New Roman" w:cs="Times New Roman"/>
          <w:sz w:val="20"/>
          <w:szCs w:val="20"/>
        </w:rPr>
        <w:t>, Colombia.</w:t>
      </w:r>
    </w:p>
    <w:p xmlns:wp14="http://schemas.microsoft.com/office/word/2010/wordml" w14:paraId="7CD76F4D" wp14:textId="77777777">
      <w:pPr>
        <w:spacing w:before="0" w:after="40"/>
      </w:pPr>
    </w:p>
    <w:p xmlns:wp14="http://schemas.microsoft.com/office/word/2010/wordml" w14:paraId="1C3D879D" wp14:textId="77777777">
      <w:pPr>
        <w:spacing w:before="120" w:after="40"/>
        <w:jc w:val="left"/>
      </w:pPr>
      <w:r>
        <w:rPr>
          <w:rFonts w:ascii="Times New Roman" w:hAnsi="Times New Roman" w:cs="Times New Roman"/>
          <w:b/>
          <w:bCs/>
          <w:sz w:val="24"/>
          <w:szCs w:val="24"/>
        </w:rPr>
        <w:t>Abstract</w:t>
      </w:r>
    </w:p>
    <w:p xmlns:wp14="http://schemas.microsoft.com/office/word/2010/wordml" w:rsidP="36A5FF65" w14:paraId="198D45A3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This paper presents a full predictive pipeline for the Saber Pro PROMEDIO_GLOBAL at the academic program level in Colombia, trained on public ICFES data for 2020–2024 (127,716 post-pivot observations). A temporal leakage catalog of six leakage types (ΔR²≈ 0.22) is documented as the primary methodological contribution. LightGBM achieves R² = 0.706 and RMSE = 9.33, outperforming Ridge, Lasso and a Transformer encoder. SHAP analysis confirms that institutional inertia (lag_1_promedio_global) is the dominant predictor. A deployable inference module with three empirical confidence flags is delivered. Results enable proactive curricular intervention before ICFES official publication.</w:t>
      </w:r>
    </w:p>
    <w:p xmlns:wp14="http://schemas.microsoft.com/office/word/2010/wordml" w14:paraId="44967720" wp14:textId="77777777">
      <w:pPr>
        <w:spacing w:before="120" w:after="40"/>
        <w:jc w:val="left"/>
      </w:pPr>
      <w:r>
        <w:rPr>
          <w:rFonts w:ascii="Times New Roman" w:hAnsi="Times New Roman" w:cs="Times New Roman"/>
          <w:b/>
          <w:bCs/>
          <w:sz w:val="24"/>
          <w:szCs w:val="24"/>
        </w:rPr>
        <w:t>Resumen</w:t>
      </w:r>
    </w:p>
    <w:p xmlns:wp14="http://schemas.microsoft.com/office/word/2010/wordml" w:rsidP="36A5FF65" w14:paraId="0F2023C5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El presente trabajo construye un motor predictivo completo del PROMEDIO_GLOBAL de Saber Pro a nivel de programa académico en Colombia, entrenado sobre datos públicos del ICFES para el período 2020–2024 (127,716 observaciones post-pivot). Se documenta un catálogo de seis tipos de fuga de información (ΔR²≈ 0,22) como contribución metodológica principal. LightGBM alcanza R² = 0,706 y RMSE = 9,33, superando a Ridge, Lasso y un Transformer encoder. El análisis SHAP confirma que la inercia institucional (lag_1_promedio_global) es el predictor dominante. Se entrega un módulo de inferencia deployable con tres flags empíricos de confianza. Los resultados habilitan intervención curricular proactiva antes de la publicación oficial del ICFES.</w:t>
      </w:r>
    </w:p>
    <w:p xmlns:wp14="http://schemas.microsoft.com/office/word/2010/wordml" w:rsidP="473E729D" w14:paraId="58DF9ACE" wp14:textId="77777777">
      <w:pPr>
        <w:jc w:val="both"/>
        <w:rPr>
          <w:rStyle w:val="17"/>
          <w:lang w:val="en-US"/>
        </w:rPr>
      </w:pPr>
      <w:r w:rsidRPr="473E729D" w:rsidR="36A5FF65">
        <w:rPr>
          <w:rStyle w:val="17"/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val="en-US" w:eastAsia="en-US" w:bidi="ar-SA"/>
        </w:rPr>
        <w:t>Palabras clave: Saber Pro, predicción del rendimiento académico, LightGBM, fuga de información, SHAP, panel temporal, educación superior colombiana.</w:t>
      </w:r>
    </w:p>
    <w:p xmlns:wp14="http://schemas.microsoft.com/office/word/2010/wordml" w:rsidP="36A5FF65" w14:paraId="58EBE22A" wp14:textId="77777777">
      <w:pPr>
        <w:jc w:val="both"/>
        <w:rPr>
          <w:rStyle w:val="17"/>
          <w:b w:val="1"/>
          <w:bCs w:val="1"/>
          <w:lang w:val="en-US"/>
        </w:rPr>
      </w:pPr>
      <w:r w:rsidRPr="36A5FF65" w:rsidR="36A5FF65">
        <w:rPr>
          <w:rStyle w:val="17"/>
          <w:b w:val="1"/>
          <w:bCs w:val="1"/>
          <w:lang w:val="en-US"/>
        </w:rPr>
        <w:t>1 Introducción</w:t>
      </w:r>
    </w:p>
    <w:p xmlns:wp14="http://schemas.microsoft.com/office/word/2010/wordml" w:rsidP="36A5FF65" w14:paraId="36C5BCC5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El examen Saber Pro mide la calidad de los programas de educación superior universitaria en Colombia. El examen evalúa cinco módulos genéricos (Lectura Crítica, Razonamiento Cuantitativo, Competencias Ciudadanas, Comunicación Escrita e Inglés) y módulos específicos según el Núcleo Básico del Conocimiento (NBC) del programa; cada módulo se califica con el modelo de Rasch [23] en una escala de 0 a 300 puntos, y el PROMEDIO_GLOBAL del estudiante es el promedio de esos módulos. El Instituto Colombiano para la Evaluación de la Educación (ICFES) lo administra y publica los resultados agregados por programa en esa misma variable. El Ministerio de Educación Nacional (MEN) usa estos resultados para acreditar programas, asignar recursos de fomento y comparar instituciones entre regiones [1], [15].</w:t>
      </w:r>
    </w:p>
    <w:p xmlns:wp14="http://schemas.microsoft.com/office/word/2010/wordml" w:rsidP="36A5FF65" w14:paraId="0AF2F61E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El ICFES entrega los resultados varios meses después de la aplicación del examen. Esta asimetría temporal impide que las instituciones identifiquen con antelación los programas en riesgo de obtener un PROMEDIO_GLOBAL bajo, y obliga a una gestión de calidad esencialmente reactiva.</w:t>
      </w:r>
    </w:p>
    <w:p xmlns:wp14="http://schemas.microsoft.com/office/word/2010/wordml" w:rsidP="36A5FF65" w14:paraId="3F29F589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A la fecha no existe un sistema abierto de predicción que opere sobre los datos públicos del ICFES a nivel de programa universitario. El presente trabajo llena esa brecha y construye un motor completo, desde la ingesta de los archivos crudos del ICFES hasta un módulo de inferencia deployable con cuantificación de incertidumbre. El objetivo es diseñar, entrenar y evaluar un motor predictivo del PROMEDIO_GLOBAL a nivel de programa académico, capaz de anticipar el resultado de la próxima aplicación de Saber Pro a partir de su historial de resultados, y de cuantificar la incertidumbre asociada a cada predicción mediante flags de confianza.</w:t>
      </w:r>
    </w:p>
    <w:p xmlns:wp14="http://schemas.microsoft.com/office/word/2010/wordml" w:rsidP="36A5FF65" w14:paraId="13EB5DF0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Las contribuciones son las siguientes. Se documentan seis tipos de fuga de información en datos de evaluación educativa en panel temporal, con impacto conjunto medido ΔR²≈ 0,22; este catálogo es transferible a otros sistemas de evaluación con cadencia anual. Se diseña una estrategia de pivot long→wide en tres capas para datos ICFES. Se construyen 15 features temporales causalmente válidas para paneles con cobertura desigual. Se evalúan cuatro familias de modelos bajo un split temporal estricto y se explica cuantitativamente por qué el Transformer no resulta competitivo. Se entrega un módulo de inferencia con tres flags empíricos de confianza. El resto del documento se organiza así: la Sección 2 revisa los trabajos relacionados y el marco teórico; la Sección 3 describe los datos y la metodología; la Sección 4 presenta los resultados; la Sección 5 discute los hallazgos; la Sección 6 presenta las conclusiones y trabajo futuro.</w:t>
      </w:r>
    </w:p>
    <w:p xmlns:wp14="http://schemas.microsoft.com/office/word/2010/wordml" w:rsidP="36A5FF65" w14:paraId="769FCCBB" wp14:textId="77777777">
      <w:pPr>
        <w:jc w:val="both"/>
        <w:rPr>
          <w:rStyle w:val="17"/>
          <w:b w:val="1"/>
          <w:bCs w:val="1"/>
          <w:lang w:val="en-US"/>
        </w:rPr>
      </w:pPr>
      <w:r w:rsidRPr="36A5FF65" w:rsidR="36A5FF65">
        <w:rPr>
          <w:rStyle w:val="17"/>
          <w:b w:val="1"/>
          <w:bCs w:val="1"/>
          <w:lang w:val="en-US"/>
        </w:rPr>
        <w:t>2 Marco Teórico y Trabajos Relacionados</w:t>
      </w:r>
    </w:p>
    <w:p xmlns:wp14="http://schemas.microsoft.com/office/word/2010/wordml" w14:paraId="2546286E" wp14:textId="77777777">
      <w:pPr>
        <w:jc w:val="both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t>2.1 El Examen Saber Pro y el Modelo de Rasch</w:t>
      </w:r>
    </w:p>
    <w:p xmlns:wp14="http://schemas.microsoft.com/office/word/2010/wordml" w:rsidP="36A5FF65" w14:paraId="62BD19C6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El ICFES administra Saber Pro como instrumento de aseguramiento de calidad de la educación superior colombiana, y el MEN incorpora sus resultados en los lineamientos del SACES [1], [15]. Cada módulo se califica con el modelo de Rasch [23], un modelo psicométrico de la teoría de respuesta al ítem que estima conjuntamente la habilidad del evaluado y la dificultad del ítem sobre una escala común, lo que permite comparar resultados entre aplicaciones con cuadernillos distintos. El PROMEDIO_GLOBAL publicado por programa es un agregado de puntajes Rasch individuales, no un simple conteo de aciertos, lo que explica su comportamiento aproximadamente continuo y respalda su tratamiento como variable de regresión.</w:t>
      </w:r>
    </w:p>
    <w:p xmlns:wp14="http://schemas.microsoft.com/office/word/2010/wordml" w:rsidP="36A5FF65" w14:paraId="262F2CD4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2.2 Minería de Datos Educativa y Trabajos Relacionados</w:t>
      </w:r>
    </w:p>
    <w:p xmlns:wp14="http://schemas.microsoft.com/office/word/2010/wordml" w:rsidP="36A5FF65" w14:paraId="269BF033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La literatura de Educational Data Mining (EDM) predice el rendimiento académico sobre todo a nivel individual [7], [8]. El boosting sobre árboles [2], [3] domina los métodos aplicados. En América Latina, Rangel-Mora y Pérez-Roa [16] revisan sistemáticamente técnicas de minería sobre pruebas Saber en Colombia; Chafla et al. [21] aplican ML con explicabilidad en educación superior ecuatoriana; Acıslı-Celik y Yesilkanat [22] predicen desempeño en PISA 2015–2018. Todos estos trabajos operan a nivel de estudiante individual o de país-año, no a nivel programa-institución, brecha que motiva el presente trabajo.</w:t>
      </w:r>
    </w:p>
    <w:p xmlns:wp14="http://schemas.microsoft.com/office/word/2010/wordml" w:rsidP="36A5FF65" w14:paraId="195C0B63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2.3 Fuga de Información en Paneles Temporales</w:t>
      </w:r>
    </w:p>
    <w:p xmlns:wp14="http://schemas.microsoft.com/office/word/2010/wordml" w:rsidP="36A5FF65" w14:paraId="33F7A8CA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Ninguno de los trabajos anteriores documenta sistemáticamente los riesgos de fuga cuando el target y los features proceden de la misma publicación anual. Kaufman et al. [9] advierten que la fuga es el defecto más común y costoso en minería de datos, pero la literatura EDM rara vez la audita explícitamente en paneles multianuales.</w:t>
      </w:r>
    </w:p>
    <w:p xmlns:wp14="http://schemas.microsoft.com/office/word/2010/wordml" w:rsidP="36A5FF65" w14:paraId="42B62DEB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2.4 Modelos de Aprendizaje Supervisado para Datos Tabulares</w:t>
      </w:r>
    </w:p>
    <w:p xmlns:wp14="http://schemas.microsoft.com/office/word/2010/wordml" w:rsidP="36A5FF65" w14:paraId="1AD38A47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Ridge [24] y Lasso [25] son métodos de regresión regularizada (norma L2 y L1) que controlan el sobreajuste en presencia de variables correlacionadas. LightGBM [3] implementa boosting con particionamiento por hojas y manejo nativo de variables categóricas. El Transformer [5] aplica mecanismos de atención y se ha adaptado a datos tabulares. Grinsztajn et al. [11] muestran que los árboles superan a los MLP en datasets tabulares medianos con features categóricas informativas; Shwartz-Ziv y Armon [12] y Gorishniy et al. [10] confirman el patrón en benchmarks amplios. SHAP [6] es un método de interpretabilidad basado en teoría de juegos cooperativos que descompone cada predicción en contribuciones por feature.</w:t>
      </w:r>
    </w:p>
    <w:p xmlns:wp14="http://schemas.microsoft.com/office/word/2010/wordml" w:rsidP="36A5FF65" w14:paraId="47C00904" wp14:textId="77777777">
      <w:pPr>
        <w:jc w:val="both"/>
        <w:rPr>
          <w:rStyle w:val="17"/>
          <w:b w:val="1"/>
          <w:bCs w:val="1"/>
          <w:lang w:val="en-US"/>
        </w:rPr>
      </w:pPr>
      <w:r w:rsidRPr="36A5FF65" w:rsidR="36A5FF65">
        <w:rPr>
          <w:rStyle w:val="17"/>
          <w:b w:val="1"/>
          <w:bCs w:val="1"/>
          <w:lang w:val="en-US"/>
        </w:rPr>
        <w:t>3 Datos y Metodología</w:t>
      </w:r>
    </w:p>
    <w:p xmlns:wp14="http://schemas.microsoft.com/office/word/2010/wordml" w14:paraId="1F59D851" wp14:textId="77777777">
      <w:pPr>
        <w:jc w:val="both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t>3.1 Fuente de Datos</w:t>
      </w:r>
    </w:p>
    <w:p xmlns:wp14="http://schemas.microsoft.com/office/word/2010/wordml" w:rsidP="36A5FF65" w14:paraId="097F4EA4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Los datos provienen de los reportes agregados Saber Pro que el ICFES publica anualmente para el período 2020–2024 [1], distribuidos como un archivo abierto independiente por cada año de aplicación. El dataset crudo consolidado suma 1.730.805 filas distribuidas en cinco archivos anuales; cada fila corresponde a una combinación de programa académico, prueba específica y tipo de medida estadística, no a un programa individual, lo que produce una estructura long-format. El 97,3 % de nulos en PROMEDIO_GLOBAL refleja esa estructura, donde el target solo aparece en filas de tipo PUNTAJE_GLOBAL.</w:t>
      </w:r>
    </w:p>
    <w:p xmlns:wp14="http://schemas.microsoft.com/office/word/2010/wordml" w:rsidP="36A5FF65" w14:paraId="33553829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3.2 Formato Long y Estrategia de Pivot</w:t>
      </w:r>
    </w:p>
    <w:p xmlns:wp14="http://schemas.microsoft.com/office/word/2010/wordml" w14:paraId="324E4708" wp14:textId="77777777">
      <w:pPr>
        <w:jc w:val="both"/>
        <w:rPr>
          <w:rStyle w:val="17"/>
          <w:rFonts w:hint="default"/>
          <w:lang w:val="es-CO"/>
        </w:rPr>
      </w:pPr>
      <w:r>
        <w:rPr>
          <w:rStyle w:val="17"/>
          <w:rFonts w:hint="default"/>
          <w:lang w:val="en"/>
        </w:rPr>
        <w:t>Los archivos ICFES usan la columna MEDIDA_AGREGACION para discriminar el tipo de estadística de cada fila. Se identificaron tres capas utilizables: (a) PUNTAJE_PRUEBA, promedio por prueba; (b) PUNTAJE_GLOBAL, target PROMEDIO_GLOBAL; y (c) NIVEL_DESEMPEÑO_PRUEBA, proporciones por nivel. Se aplicó un pivot long→wide con inner join sobre la llave (AÑO, ID_INSTITUCION, ID_PROGRAMA_ACAD, NOMBRE_PRUEBA), preservando únicamente entidades con las tres capas presentes. El resultado es 127.716 filas wide con el target disponible al 100 %.</w:t>
      </w:r>
      <w:r>
        <w:rPr>
          <w:rStyle w:val="17"/>
          <w:rFonts w:hint="default"/>
          <w:lang w:val="es-CO"/>
        </w:rPr>
        <w:t xml:space="preserve">  La Figura 1 ilustra la distribución del PROMEDIO_GLOBAL resultante, el crecimiento de filas limpias por año y las pruebas y NBCs más frecuentes del panel.</w:t>
      </w:r>
    </w:p>
    <w:p xmlns:wp14="http://schemas.microsoft.com/office/word/2010/wordml" w:rsidP="36A5FF65" w14:paraId="309CB083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3.3 Detección y Corrección de Fuga de Información</w:t>
      </w:r>
    </w:p>
    <w:p xmlns:wp14="http://schemas.microsoft.com/office/word/2010/wordml" w:rsidP="473E729D" w14:paraId="17D802DE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Se identificaron seis tipos de fuga (L1–L6) con impacto conjunto ΔR² ≈ 0,22. El baseline Lasso con fugas presentes reportaba R² ≈ 0,88; tras las correcciones, R² = 0,658. Las fugas incluyen: uso de PROMEDIO_GLOBAL del año corriente como feature, fuga a través de proporciones de nivel de desempeño calculadas con el target, y uso de percentiles del mismo ciclo.</w:t>
      </w:r>
    </w:p>
    <w:p xmlns:wp14="http://schemas.microsoft.com/office/word/2010/wordml" w14:paraId="55363496" wp14:textId="77777777">
      <w:pPr>
        <w:jc w:val="both"/>
        <w:rPr>
          <w:rStyle w:val="17"/>
          <w:rFonts w:hint="default"/>
          <w:lang w:val="en"/>
        </w:rPr>
      </w:pPr>
    </w:p>
    <w:p xmlns:wp14="http://schemas.microsoft.com/office/word/2010/wordml" w14:paraId="36B57FDB" wp14:textId="77777777">
      <w:pPr>
        <w:jc w:val="center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drawing>
          <wp:inline xmlns:wp14="http://schemas.microsoft.com/office/word/2010/wordprocessingDrawing" distT="0" distB="0" distL="0" distR="0" wp14:anchorId="43F7AC31" wp14:editId="7777777">
            <wp:extent cx="4370070" cy="3177540"/>
            <wp:effectExtent l="0" t="0" r="3810" b="7620"/>
            <wp:docPr id="12" name="fi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007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3E729D" w14:paraId="65A65235" wp14:textId="77777777">
      <w:pPr>
        <w:jc w:val="center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Figura 1. Dataset Saber Pro post-pivot y limpieza. Superior izquierdo: distribución del PROMEDIO_GLOBAL (media = 148,1). Superior derecho: filas limpias por año (2020–2024). Inferior: top 15 pruebas y NBCs por frecuencia.</w:t>
      </w:r>
    </w:p>
    <w:p xmlns:wp14="http://schemas.microsoft.com/office/word/2010/wordml" w14:paraId="1B57EF9B" wp14:textId="77777777">
      <w:pPr>
        <w:jc w:val="both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t>3.4 Ingeniería de Features</w:t>
      </w:r>
    </w:p>
    <w:p xmlns:wp14="http://schemas.microsoft.com/office/word/2010/wordml" w:rsidP="473E729D" w14:paraId="380B2EC6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Se construyeron 15 features causalmente válidas: rezagos temporales lag_1 y lag_2 del PROMEDIO_GLOBAL y de cada prueba, tendencia histórica, desviación estándar histórica, logaritmo del número de evaluados, año, identificadores de NBC y departamento codificados con TargetEncoder. El split temporal estricto usa 2020–2023 para entrenamiento (98.954 filas) y 2024 para prueba (28.762 filas).</w:t>
      </w:r>
    </w:p>
    <w:p xmlns:wp14="http://schemas.microsoft.com/office/word/2010/wordml" w:rsidP="473E729D" w14:paraId="7D73621B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3.5 Modelos Evaluados</w:t>
      </w:r>
    </w:p>
    <w:p xmlns:wp14="http://schemas.microsoft.com/office/word/2010/wordml" w:rsidP="36A5FF65" w14:paraId="26F2610A" wp14:textId="075DFC4E">
      <w:pPr>
        <w:jc w:val="both"/>
        <w:rPr>
          <w:rStyle w:val="17"/>
          <w:lang w:val="es-ES"/>
        </w:rPr>
      </w:pPr>
      <w:r w:rsidRPr="36A5FF65" w:rsidR="7118E9F6">
        <w:rPr>
          <w:rStyle w:val="17"/>
          <w:lang w:val="es-ES"/>
        </w:rPr>
        <w:t>Finalmente se evaluaron cuatro familias: (1) Ridge con α automático (</w:t>
      </w:r>
      <w:r w:rsidRPr="36A5FF65" w:rsidR="7118E9F6">
        <w:rPr>
          <w:rStyle w:val="17"/>
          <w:lang w:val="es-ES"/>
        </w:rPr>
        <w:t>RidgeCV</w:t>
      </w:r>
      <w:r w:rsidRPr="36A5FF65" w:rsidR="7118E9F6">
        <w:rPr>
          <w:rStyle w:val="17"/>
          <w:lang w:val="es-ES"/>
        </w:rPr>
        <w:t>); (2) Lasso con α automático (</w:t>
      </w:r>
      <w:r w:rsidRPr="36A5FF65" w:rsidR="7118E9F6">
        <w:rPr>
          <w:rStyle w:val="17"/>
          <w:lang w:val="es-ES"/>
        </w:rPr>
        <w:t>LassoCV</w:t>
      </w:r>
      <w:r w:rsidRPr="36A5FF65" w:rsidR="7118E9F6">
        <w:rPr>
          <w:rStyle w:val="17"/>
          <w:lang w:val="es-ES"/>
        </w:rPr>
        <w:t xml:space="preserve">); (3) </w:t>
      </w:r>
      <w:r w:rsidRPr="36A5FF65" w:rsidR="7118E9F6">
        <w:rPr>
          <w:rStyle w:val="17"/>
          <w:lang w:val="es-ES"/>
        </w:rPr>
        <w:t>LightGBM</w:t>
      </w:r>
      <w:r w:rsidRPr="36A5FF65" w:rsidR="7118E9F6">
        <w:rPr>
          <w:rStyle w:val="17"/>
          <w:lang w:val="es-ES"/>
        </w:rPr>
        <w:t xml:space="preserve"> con 50 </w:t>
      </w:r>
      <w:r w:rsidRPr="36A5FF65" w:rsidR="7118E9F6">
        <w:rPr>
          <w:rStyle w:val="17"/>
          <w:lang w:val="es-ES"/>
        </w:rPr>
        <w:t>trials</w:t>
      </w:r>
      <w:r w:rsidRPr="36A5FF65" w:rsidR="7118E9F6">
        <w:rPr>
          <w:rStyle w:val="17"/>
          <w:lang w:val="es-ES"/>
        </w:rPr>
        <w:t xml:space="preserve"> de búsqueda </w:t>
      </w:r>
      <w:r w:rsidRPr="36A5FF65" w:rsidR="7118E9F6">
        <w:rPr>
          <w:rStyle w:val="17"/>
          <w:lang w:val="es-ES"/>
        </w:rPr>
        <w:t>Optuna</w:t>
      </w:r>
      <w:r w:rsidRPr="36A5FF65" w:rsidR="7118E9F6">
        <w:rPr>
          <w:rStyle w:val="17"/>
          <w:lang w:val="es-ES"/>
        </w:rPr>
        <w:t xml:space="preserve"> [4] y </w:t>
      </w:r>
      <w:r w:rsidRPr="36A5FF65" w:rsidR="7118E9F6">
        <w:rPr>
          <w:rStyle w:val="17"/>
          <w:lang w:val="es-ES"/>
        </w:rPr>
        <w:t>n_estimators</w:t>
      </w:r>
      <w:r w:rsidRPr="36A5FF65" w:rsidR="7118E9F6">
        <w:rPr>
          <w:rStyle w:val="17"/>
          <w:lang w:val="es-ES"/>
        </w:rPr>
        <w:t xml:space="preserve"> = 500; (4) </w:t>
      </w:r>
      <w:r w:rsidRPr="36A5FF65" w:rsidR="7118E9F6">
        <w:rPr>
          <w:rStyle w:val="17"/>
          <w:lang w:val="es-ES"/>
        </w:rPr>
        <w:t>Transformer</w:t>
      </w:r>
      <w:r w:rsidRPr="36A5FF65" w:rsidR="7118E9F6">
        <w:rPr>
          <w:rStyle w:val="17"/>
          <w:lang w:val="es-ES"/>
        </w:rPr>
        <w:t xml:space="preserve"> </w:t>
      </w:r>
      <w:r w:rsidRPr="36A5FF65" w:rsidR="7118E9F6">
        <w:rPr>
          <w:rStyle w:val="17"/>
          <w:lang w:val="es-ES"/>
        </w:rPr>
        <w:t>encoder</w:t>
      </w:r>
      <w:r w:rsidRPr="36A5FF65" w:rsidR="7118E9F6">
        <w:rPr>
          <w:rStyle w:val="17"/>
          <w:lang w:val="es-ES"/>
        </w:rPr>
        <w:t xml:space="preserve"> con </w:t>
      </w:r>
      <w:r w:rsidRPr="36A5FF65" w:rsidR="7118E9F6">
        <w:rPr>
          <w:rStyle w:val="17"/>
          <w:lang w:val="es-ES"/>
        </w:rPr>
        <w:t>early</w:t>
      </w:r>
      <w:r w:rsidRPr="36A5FF65" w:rsidR="7118E9F6">
        <w:rPr>
          <w:rStyle w:val="17"/>
          <w:lang w:val="es-ES"/>
        </w:rPr>
        <w:t xml:space="preserve"> </w:t>
      </w:r>
      <w:r w:rsidRPr="36A5FF65" w:rsidR="7118E9F6">
        <w:rPr>
          <w:rStyle w:val="17"/>
          <w:lang w:val="es-ES"/>
        </w:rPr>
        <w:t>stopping</w:t>
      </w:r>
      <w:r w:rsidRPr="36A5FF65" w:rsidR="7118E9F6">
        <w:rPr>
          <w:rStyle w:val="17"/>
          <w:lang w:val="es-ES"/>
        </w:rPr>
        <w:t xml:space="preserve"> (época 53/200). Las métricas de evaluación son RMSE, MAE y R². La interpretabilidad del modelo final se obtiene con SHAP [6].</w:t>
      </w:r>
    </w:p>
    <w:p xmlns:wp14="http://schemas.microsoft.com/office/word/2010/wordml" w:rsidP="473E729D" w14:paraId="1004B3FE" wp14:textId="77777777">
      <w:pPr>
        <w:jc w:val="both"/>
        <w:rPr>
          <w:rStyle w:val="17"/>
          <w:b w:val="1"/>
          <w:bCs w:val="1"/>
          <w:lang w:val="en-US"/>
        </w:rPr>
      </w:pPr>
      <w:r w:rsidRPr="473E729D" w:rsidR="473E729D">
        <w:rPr>
          <w:rStyle w:val="17"/>
          <w:b w:val="1"/>
          <w:bCs w:val="1"/>
          <w:lang w:val="en-US"/>
        </w:rPr>
        <w:t>4 Resultados</w:t>
      </w:r>
    </w:p>
    <w:p xmlns:wp14="http://schemas.microsoft.com/office/word/2010/wordml" w:rsidP="473E729D" w14:paraId="0EDED08D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4.1 Comparativa Global de Modelos</w:t>
      </w:r>
    </w:p>
    <w:p xmlns:wp14="http://schemas.microsoft.com/office/word/2010/wordml" w:rsidP="473E729D" w14:paraId="06CC2C94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El crecimiento de filas crudas por año, especialmente el salto a 411.946 filas en 2024, se traduce en 127.716 filas wide tras el pivot y el split temporal (n = 28.762), confirmando que la mayor cobertura institucional reciente no introdujo distorsiones sistemáticas en la distribución del target. La Tabla 1 presenta las métricas de desempeño de los cuatro modelos evaluados sobre el conjunto de prueba 2024.</w:t>
      </w:r>
    </w:p>
    <w:tbl>
      <w:tblPr>
        <w:tblStyle w:val="3"/>
        <w:tblpPr w:leftFromText="180" w:rightFromText="180" w:vertAnchor="text" w:horzAnchor="page" w:tblpXSpec="center" w:tblpY="447"/>
        <w:tblOverlap w:val="never"/>
        <w:tblW w:w="976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1440"/>
        <w:gridCol w:w="1440"/>
        <w:gridCol w:w="1440"/>
        <w:gridCol w:w="2560"/>
      </w:tblGrid>
      <w:tr xmlns:wp14="http://schemas.microsoft.com/office/word/2010/wordml" w:rsidTr="473E729D" w14:paraId="7FB0A427" wp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  <w:tl2br w:val="nil"/>
            </w:tcBorders>
            <w:shd w:val="clear" w:color="auto" w:fill="FFFFFF" w:themeFill="background1"/>
            <w:tcMar/>
          </w:tcPr>
          <w:p w:rsidP="36A5FF65" w14:paraId="7B14C872" wp14:textId="77777777">
            <w:pPr>
              <w:jc w:val="center"/>
              <w:rPr>
                <w:rStyle w:val="17"/>
                <w:b w:val="1"/>
                <w:bCs w:val="1"/>
                <w:color w:val="000000"/>
                <w:lang w:val="en"/>
              </w:rPr>
            </w:pPr>
            <w:r w:rsidRPr="36A5FF65" w:rsidR="36A5FF65">
              <w:rPr>
                <w:rStyle w:val="17"/>
                <w:b w:val="1"/>
                <w:bCs w:val="1"/>
                <w:color w:val="000000" w:themeColor="text1" w:themeTint="FF" w:themeShade="FF"/>
                <w:lang w:val="en"/>
              </w:rPr>
              <w:t>Modelo</w:t>
            </w:r>
          </w:p>
        </w:tc>
        <w:tc>
          <w:tcPr>
            <w:tcW w:w="144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:rsidP="36A5FF65" w14:paraId="015F0D81" wp14:textId="77777777">
            <w:pPr>
              <w:jc w:val="center"/>
              <w:rPr>
                <w:rStyle w:val="17"/>
                <w:b w:val="1"/>
                <w:bCs w:val="1"/>
                <w:color w:val="000000"/>
                <w:lang w:val="en"/>
              </w:rPr>
            </w:pPr>
            <w:r w:rsidRPr="36A5FF65" w:rsidR="36A5FF65">
              <w:rPr>
                <w:rStyle w:val="17"/>
                <w:b w:val="1"/>
                <w:bCs w:val="1"/>
                <w:color w:val="000000" w:themeColor="text1" w:themeTint="FF" w:themeShade="FF"/>
                <w:lang w:val="en"/>
              </w:rPr>
              <w:t>RMSE</w:t>
            </w:r>
          </w:p>
        </w:tc>
        <w:tc>
          <w:tcPr>
            <w:tcW w:w="144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:rsidP="36A5FF65" w14:paraId="7036B0F7" wp14:textId="77777777">
            <w:pPr>
              <w:jc w:val="center"/>
              <w:rPr>
                <w:rStyle w:val="17"/>
                <w:b w:val="1"/>
                <w:bCs w:val="1"/>
                <w:color w:val="000000"/>
                <w:lang w:val="en"/>
              </w:rPr>
            </w:pPr>
            <w:r w:rsidRPr="36A5FF65" w:rsidR="36A5FF65">
              <w:rPr>
                <w:rStyle w:val="17"/>
                <w:b w:val="1"/>
                <w:bCs w:val="1"/>
                <w:color w:val="000000" w:themeColor="text1" w:themeTint="FF" w:themeShade="FF"/>
                <w:lang w:val="en"/>
              </w:rPr>
              <w:t>MAE</w:t>
            </w:r>
          </w:p>
        </w:tc>
        <w:tc>
          <w:tcPr>
            <w:tcW w:w="144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:rsidP="36A5FF65" w14:paraId="52A67C83" wp14:textId="77777777">
            <w:pPr>
              <w:jc w:val="center"/>
              <w:rPr>
                <w:rStyle w:val="17"/>
                <w:b w:val="1"/>
                <w:bCs w:val="1"/>
                <w:color w:val="000000"/>
                <w:lang w:val="en"/>
              </w:rPr>
            </w:pPr>
            <w:r w:rsidRPr="36A5FF65" w:rsidR="36A5FF65">
              <w:rPr>
                <w:rStyle w:val="17"/>
                <w:b w:val="1"/>
                <w:bCs w:val="1"/>
                <w:color w:val="000000" w:themeColor="text1" w:themeTint="FF" w:themeShade="FF"/>
                <w:lang w:val="en"/>
              </w:rPr>
              <w:t>R²</w:t>
            </w:r>
          </w:p>
        </w:tc>
        <w:tc>
          <w:tcPr>
            <w:tcW w:w="256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:rsidP="36A5FF65" w14:paraId="0BA41541" wp14:textId="77777777">
            <w:pPr>
              <w:jc w:val="center"/>
              <w:rPr>
                <w:rStyle w:val="17"/>
                <w:b w:val="1"/>
                <w:bCs w:val="1"/>
                <w:color w:val="000000"/>
                <w:lang w:val="en"/>
              </w:rPr>
            </w:pPr>
            <w:r w:rsidRPr="36A5FF65" w:rsidR="36A5FF65">
              <w:rPr>
                <w:rStyle w:val="17"/>
                <w:b w:val="1"/>
                <w:bCs w:val="1"/>
                <w:color w:val="000000" w:themeColor="text1" w:themeTint="FF" w:themeShade="FF"/>
                <w:lang w:val="en"/>
              </w:rPr>
              <w:t>Config.</w:t>
            </w:r>
          </w:p>
        </w:tc>
      </w:tr>
      <w:tr xmlns:wp14="http://schemas.microsoft.com/office/word/2010/wordml" w:rsidTr="473E729D" w14:paraId="3C68B64B" wp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288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32697250" wp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Ridge (ref.)</w:t>
            </w:r>
          </w:p>
        </w:tc>
        <w:tc>
          <w:tcPr>
            <w:tcW w:w="144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1BCDAB32" wp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10,2294</w:t>
            </w:r>
          </w:p>
        </w:tc>
        <w:tc>
          <w:tcPr>
            <w:tcW w:w="144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6158F8EE" wp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7,2967</w:t>
            </w:r>
          </w:p>
        </w:tc>
        <w:tc>
          <w:tcPr>
            <w:tcW w:w="144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349031E5" wp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0,6467</w:t>
            </w:r>
          </w:p>
        </w:tc>
        <w:tc>
          <w:tcPr>
            <w:tcW w:w="256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:rsidP="473E729D" w14:paraId="47CED0BC" wp14:textId="77777777">
            <w:pPr>
              <w:jc w:val="center"/>
              <w:rPr>
                <w:rStyle w:val="17"/>
                <w:b w:val="0"/>
                <w:bCs w:val="0"/>
                <w:color w:val="000000"/>
                <w:lang w:val="en-US"/>
              </w:rPr>
            </w:pPr>
            <w:r w:rsidRPr="473E729D" w:rsidR="473E729D">
              <w:rPr>
                <w:rStyle w:val="17"/>
                <w:b w:val="0"/>
                <w:bCs w:val="0"/>
                <w:color w:val="000000" w:themeColor="text1" w:themeTint="FF" w:themeShade="FF"/>
                <w:lang w:val="en-US"/>
              </w:rPr>
              <w:t>RidgeCV</w:t>
            </w:r>
          </w:p>
        </w:tc>
      </w:tr>
      <w:tr xmlns:wp14="http://schemas.microsoft.com/office/word/2010/wordml" w:rsidTr="473E729D" w14:paraId="1B0151C7" wp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460B409D" wp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Lasso (ref.)</w:t>
            </w:r>
          </w:p>
        </w:tc>
        <w:tc>
          <w:tcPr>
            <w:tcW w:w="144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45F3C5DE" wp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10,0722</w:t>
            </w:r>
          </w:p>
        </w:tc>
        <w:tc>
          <w:tcPr>
            <w:tcW w:w="144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26B1785C" wp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7,0622</w:t>
            </w:r>
          </w:p>
        </w:tc>
        <w:tc>
          <w:tcPr>
            <w:tcW w:w="144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7F9C63A1" wp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0,6575</w:t>
            </w:r>
          </w:p>
        </w:tc>
        <w:tc>
          <w:tcPr>
            <w:tcW w:w="256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:rsidP="473E729D" w14:paraId="1E6F5ADD" wp14:textId="77777777">
            <w:pPr>
              <w:jc w:val="center"/>
              <w:rPr>
                <w:rStyle w:val="17"/>
                <w:b w:val="0"/>
                <w:bCs w:val="0"/>
                <w:color w:val="000000"/>
                <w:lang w:val="en-US"/>
              </w:rPr>
            </w:pPr>
            <w:r w:rsidRPr="473E729D" w:rsidR="473E729D">
              <w:rPr>
                <w:rStyle w:val="17"/>
                <w:b w:val="0"/>
                <w:bCs w:val="0"/>
                <w:color w:val="000000" w:themeColor="text1" w:themeTint="FF" w:themeShade="FF"/>
                <w:lang w:val="en-US"/>
              </w:rPr>
              <w:t>LassoCV</w:t>
            </w:r>
          </w:p>
        </w:tc>
      </w:tr>
      <w:tr xmlns:wp14="http://schemas.microsoft.com/office/word/2010/wordml" w:rsidTr="473E729D" w14:paraId="5F2AD21F" wp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:rsidP="473E729D" w14:paraId="3A0FCD22" wp14:textId="77777777">
            <w:pPr>
              <w:jc w:val="center"/>
              <w:rPr>
                <w:rStyle w:val="17"/>
                <w:b w:val="0"/>
                <w:bCs w:val="0"/>
                <w:color w:val="000000"/>
                <w:lang w:val="en-US"/>
              </w:rPr>
            </w:pPr>
            <w:r w:rsidRPr="473E729D" w:rsidR="473E729D">
              <w:rPr>
                <w:rStyle w:val="17"/>
                <w:b w:val="0"/>
                <w:bCs w:val="0"/>
                <w:color w:val="000000" w:themeColor="text1" w:themeTint="FF" w:themeShade="FF"/>
                <w:lang w:val="en-US"/>
              </w:rPr>
              <w:t>LightGBM (prop.)</w:t>
            </w:r>
          </w:p>
        </w:tc>
        <w:tc>
          <w:tcPr>
            <w:tcW w:w="144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519D8DCE" wp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9,3293</w:t>
            </w:r>
          </w:p>
        </w:tc>
        <w:tc>
          <w:tcPr>
            <w:tcW w:w="144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05368D52" wp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6,2109</w:t>
            </w:r>
          </w:p>
        </w:tc>
        <w:tc>
          <w:tcPr>
            <w:tcW w:w="144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413FD9DD" wp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0,7062</w:t>
            </w:r>
          </w:p>
        </w:tc>
        <w:tc>
          <w:tcPr>
            <w:tcW w:w="256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:rsidP="473E729D" w14:paraId="39BB4AD6" wp14:textId="77777777">
            <w:pPr>
              <w:jc w:val="center"/>
              <w:rPr>
                <w:rStyle w:val="17"/>
                <w:b w:val="0"/>
                <w:bCs w:val="0"/>
                <w:color w:val="000000"/>
                <w:lang w:val="en-US"/>
              </w:rPr>
            </w:pPr>
            <w:r w:rsidRPr="473E729D" w:rsidR="473E729D">
              <w:rPr>
                <w:rStyle w:val="17"/>
                <w:b w:val="0"/>
                <w:bCs w:val="0"/>
                <w:color w:val="000000" w:themeColor="text1" w:themeTint="FF" w:themeShade="FF"/>
                <w:lang w:val="en-US"/>
              </w:rPr>
              <w:t>Optuna 50t</w:t>
            </w:r>
          </w:p>
        </w:tc>
      </w:tr>
      <w:tr xmlns:wp14="http://schemas.microsoft.com/office/word/2010/wordml" w:rsidTr="473E729D" w14:paraId="7E0A820F" wp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54A06DA5" wp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Transformer enc.</w:t>
            </w:r>
          </w:p>
        </w:tc>
        <w:tc>
          <w:tcPr>
            <w:tcW w:w="144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160AD576" wp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16,7917</w:t>
            </w:r>
          </w:p>
        </w:tc>
        <w:tc>
          <w:tcPr>
            <w:tcW w:w="144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7EDDDE31" wp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n/d</w:t>
            </w:r>
          </w:p>
        </w:tc>
        <w:tc>
          <w:tcPr>
            <w:tcW w:w="144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35D0784F" wp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0,0481</w:t>
            </w:r>
          </w:p>
        </w:tc>
        <w:tc>
          <w:tcPr>
            <w:tcW w:w="256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605C294A" wp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early stop ép.53</w:t>
            </w:r>
          </w:p>
        </w:tc>
      </w:tr>
    </w:tbl>
    <w:p xmlns:wp14="http://schemas.microsoft.com/office/word/2010/wordml" w:rsidP="473E729D" w14:paraId="2A131E0A" wp14:textId="77777777">
      <w:pPr>
        <w:jc w:val="center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Tabla 1. Comparativa de métricas en el conju</w:t>
      </w:r>
      <w:bookmarkStart w:name="_GoBack" w:id="0"/>
      <w:bookmarkEnd w:id="0"/>
      <w:r w:rsidRPr="473E729D" w:rsidR="473E729D">
        <w:rPr>
          <w:rStyle w:val="17"/>
          <w:lang w:val="en-US"/>
        </w:rPr>
        <w:t>nto de prueba 2024 (n = 28.762)</w:t>
      </w:r>
    </w:p>
    <w:p xmlns:wp14="http://schemas.microsoft.com/office/word/2010/wordml" w14:paraId="79C5E905" wp14:textId="77777777">
      <w:pPr>
        <w:jc w:val="both"/>
        <w:rPr>
          <w:rStyle w:val="17"/>
          <w:rFonts w:hint="default"/>
          <w:lang w:val="es-CO"/>
        </w:rPr>
      </w:pPr>
      <w:r>
        <w:rPr>
          <w:rStyle w:val="17"/>
          <w:rFonts w:hint="default"/>
          <w:lang w:val="en"/>
        </w:rPr>
        <w:t>LightGBM supera a Lasso en ΔRMSE = −0,74 puntos (−7,4 %) y ΔR² = +0,049, alcanzando el umbral objetivo R² &gt; 0,70. Esta mejora se reporta sobre un único split temporal; un intervalo de confianza formal requiere múltiples splits walk-forward (trabajo futuro TF6). Para verificar que el modelo no incurre en sobreajuste, la Figura 2 muestra la evolución del RMSE de entrenamiento y validación a lo largo de las 225 iteraciones de boosting. Ambas curvas convergen en la iteración 168 con una brecha pequeña y estable, lo que confirma una regularización adecuada.</w:t>
      </w:r>
      <w:r>
        <w:rPr>
          <w:rStyle w:val="17"/>
          <w:rFonts w:hint="default"/>
          <w:lang w:val="es-CO"/>
        </w:rPr>
        <w:t xml:space="preserve"> </w:t>
      </w:r>
    </w:p>
    <w:p xmlns:wp14="http://schemas.microsoft.com/office/word/2010/wordml" w14:paraId="318C371E" wp14:textId="77777777">
      <w:pPr>
        <w:jc w:val="center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drawing>
          <wp:inline xmlns:wp14="http://schemas.microsoft.com/office/word/2010/wordprocessingDrawing" distT="0" distB="0" distL="0" distR="0" wp14:anchorId="58E56B81" wp14:editId="7777777">
            <wp:extent cx="3950335" cy="1946910"/>
            <wp:effectExtent l="0" t="0" r="12065" b="3810"/>
            <wp:docPr id="17" name="fig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033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3E729D" w14:paraId="462976D7" wp14:textId="77777777">
      <w:pPr>
        <w:jc w:val="center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Figura 2. LightGBM — Curva de aprendizaje (RMSE de entrenamiento y validación por iteración). La línea vertical marca la mejor iteración (168). La brecha pequeña y estable confirma regularización adecuada.</w:t>
      </w:r>
    </w:p>
    <w:p xmlns:wp14="http://schemas.microsoft.com/office/word/2010/wordml" w:rsidP="473E729D" w14:paraId="5824AF68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El diagrama de dispersión entre los valores predichos y reales del PROMEDIO_GLOBAL (Figura 3) confirma el desempeño de LightGBM sobre el conjunto de prueba 2024 (n = 28.762): los puntos se agrupan densamente sobre la diagonal de predicción perfecta (R² = 0,706), con los errores más grandes concentrados en los extremos de la distribución, donde los programas presentan cohortes pequeñas o trayectorias históricas poco estables.</w:t>
      </w:r>
    </w:p>
    <w:p xmlns:wp14="http://schemas.microsoft.com/office/word/2010/wordml" w14:paraId="0EECC438" wp14:textId="77777777">
      <w:pPr>
        <w:jc w:val="both"/>
        <w:rPr>
          <w:rStyle w:val="17"/>
          <w:rFonts w:hint="default"/>
          <w:lang w:val="en"/>
        </w:rPr>
      </w:pPr>
    </w:p>
    <w:p xmlns:wp14="http://schemas.microsoft.com/office/word/2010/wordml" w14:paraId="71BCC876" wp14:textId="77777777">
      <w:pPr>
        <w:jc w:val="center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drawing>
          <wp:inline xmlns:wp14="http://schemas.microsoft.com/office/word/2010/wordprocessingDrawing" distT="0" distB="0" distL="0" distR="0" wp14:anchorId="669032D8" wp14:editId="7777777">
            <wp:extent cx="2673350" cy="2665095"/>
            <wp:effectExtent l="0" t="0" r="8890" b="1905"/>
            <wp:docPr id="15" name="fig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3E729D" w14:paraId="24C3135A" wp14:textId="77777777">
      <w:pPr>
        <w:jc w:val="center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Figura 3. LightGBM — Predicho vs. Real en el conjunto de prueba 2024 (n = 28.762). RMSE = 9,33; MAE = 6,21; R² = 0,706. Los errores más grandes se concentran en los extremos de la distribución.</w:t>
      </w:r>
    </w:p>
    <w:p xmlns:wp14="http://schemas.microsoft.com/office/word/2010/wordml" w:rsidP="473E729D" w14:paraId="171E29FF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4.2 Importancia de Features — SHAP</w:t>
      </w:r>
    </w:p>
    <w:p xmlns:wp14="http://schemas.microsoft.com/office/word/2010/wordml" w14:paraId="27218B7C" wp14:textId="77777777">
      <w:pPr>
        <w:jc w:val="both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t>El análisis SHAP (Fig</w:t>
      </w:r>
      <w:r>
        <w:rPr>
          <w:rStyle w:val="17"/>
          <w:rFonts w:hint="default"/>
          <w:lang w:val="es-CO"/>
        </w:rPr>
        <w:t>ura</w:t>
      </w:r>
      <w:r>
        <w:rPr>
          <w:rStyle w:val="17"/>
          <w:rFonts w:hint="default"/>
          <w:lang w:val="en"/>
        </w:rPr>
        <w:t> </w:t>
      </w:r>
      <w:r>
        <w:rPr>
          <w:rStyle w:val="17"/>
          <w:rFonts w:hint="default"/>
          <w:lang w:val="es-CO"/>
        </w:rPr>
        <w:t>4</w:t>
      </w:r>
      <w:r>
        <w:rPr>
          <w:rStyle w:val="17"/>
          <w:rFonts w:hint="default"/>
          <w:lang w:val="en"/>
        </w:rPr>
        <w:t>) revela que lag_1_promedio_global es el predictor dominante, con valores SHAP de hasta +28 puntos. Le siguen lag_2_promedio_global, lag_1_promedio_prueba y log_cantidadevaluados. Los indicadores NBC aparecen como efectos de intercepto por área disciplinar. La variable log_cantidadevaluados muestra que programas con cohortes pequeñas tienen SHAP negativo, reflejando mayor volatilidad en el promedio histórico.</w:t>
      </w:r>
    </w:p>
    <w:p xmlns:wp14="http://schemas.microsoft.com/office/word/2010/wordml" w14:paraId="13336A73" wp14:textId="77777777">
      <w:pPr>
        <w:spacing w:before="40" w:after="40"/>
        <w:jc w:val="center"/>
      </w:pPr>
      <w:r w:rsidR="36A5FF65">
        <w:drawing>
          <wp:inline xmlns:wp14="http://schemas.microsoft.com/office/word/2010/wordprocessingDrawing" wp14:editId="14A92016" wp14:anchorId="652D698E">
            <wp:extent cx="2942646" cy="2769583"/>
            <wp:effectExtent l="0" t="0" r="0" b="0"/>
            <wp:docPr id="16" name="fig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" name="fig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2646" cy="276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6A5FF65" w14:paraId="5CF589A3" wp14:textId="77777777">
      <w:pPr>
        <w:spacing w:before="0" w:after="60"/>
        <w:jc w:val="center"/>
        <w:rPr>
          <w:rFonts w:ascii="Calibri" w:hAnsi="Calibri" w:cs="Calibri"/>
          <w:i w:val="0"/>
          <w:iCs w:val="0"/>
        </w:rPr>
      </w:pPr>
      <w:r w:rsidRPr="36A5FF65" w:rsidR="36A5FF65">
        <w:rPr>
          <w:rFonts w:ascii="Calibri" w:hAnsi="Calibri" w:cs="Calibri"/>
          <w:i w:val="0"/>
          <w:iCs w:val="0"/>
          <w:sz w:val="20"/>
          <w:szCs w:val="20"/>
        </w:rPr>
        <w:t>Figura 4. LightGBM — SHAP Beeswarm (test 2024). lag_1_promedio_global domina con valores SHAP de hasta +28 puntos. El color codifica el valor del feature (rojo = alto, azul = bajo). Los rezagos temporales del PROMEDIO_GLOBAL dominan ampliamente sobre el resto de predictores.</w:t>
      </w:r>
    </w:p>
    <w:p w:rsidR="36A5FF65" w:rsidP="36A5FF65" w:rsidRDefault="36A5FF65" w14:paraId="4BC09B8D" w14:textId="6A169E2D">
      <w:pPr>
        <w:spacing w:before="0" w:after="60"/>
        <w:jc w:val="center"/>
        <w:rPr>
          <w:rFonts w:ascii="Calibri" w:hAnsi="Calibri" w:cs="Calibri"/>
          <w:i w:val="0"/>
          <w:iCs w:val="0"/>
          <w:sz w:val="20"/>
          <w:szCs w:val="20"/>
        </w:rPr>
      </w:pPr>
    </w:p>
    <w:p xmlns:wp14="http://schemas.microsoft.com/office/word/2010/wordml" w:rsidP="473E729D" w14:paraId="036D5FC3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4.3 Análisis de Errores por Área y Región</w:t>
      </w:r>
    </w:p>
    <w:p xmlns:wp14="http://schemas.microsoft.com/office/word/2010/wordml" w14:paraId="0C7C50F1" wp14:textId="77777777">
      <w:pPr>
        <w:jc w:val="both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t>La Figura 5 desagrega el RMSE de LightGBM por Núcleo Básico del Conocimiento (top 25), revelando diferencias sustanciales entre áreas disciplinares. Los programas de Salud concentran los errores más bajos (RMSE entre 4,1 y 6,2 puntos), mientras que Educación (RMSE = 11,71) y Sin Clasificar (RMSE = 17,76) concentran los más altos, explicados por la alta heterogeneidad interna de esas categorías. El análisis geográfico</w:t>
      </w:r>
      <w:r>
        <w:rPr>
          <w:rStyle w:val="17"/>
          <w:rFonts w:hint="default"/>
          <w:lang w:val="es-CO"/>
        </w:rPr>
        <w:t xml:space="preserve"> descrito en la figura 6</w:t>
      </w:r>
      <w:r>
        <w:rPr>
          <w:rStyle w:val="17"/>
          <w:rFonts w:hint="default"/>
          <w:lang w:val="en"/>
        </w:rPr>
        <w:t xml:space="preserve"> muestra que Sucre (≈ 13), Chocó (≈ 12) y Putumayo (≈ 11) presentan los mayores errores, coincidiendo con regiones de menor desarrollo económico relativo.</w:t>
      </w:r>
    </w:p>
    <w:p xmlns:wp14="http://schemas.microsoft.com/office/word/2010/wordml" w14:paraId="391579E6" wp14:textId="77777777">
      <w:pPr>
        <w:spacing w:before="40" w:after="40"/>
        <w:jc w:val="center"/>
      </w:pPr>
      <w:r>
        <w:drawing>
          <wp:inline xmlns:wp14="http://schemas.microsoft.com/office/word/2010/wordprocessingDrawing" distT="0" distB="0" distL="0" distR="0" wp14:anchorId="58AC6F7F" wp14:editId="7777777">
            <wp:extent cx="3199130" cy="2785745"/>
            <wp:effectExtent l="0" t="0" r="1270" b="3175"/>
            <wp:docPr id="18" name="fig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913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6A5FF65" w14:paraId="50535A84" wp14:textId="77777777">
      <w:pPr>
        <w:jc w:val="center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Figura 5. LightGBM — RMSE por Núcleo Básico del Conocimiento (top 25). Sin Clasificar y Artes Representativas concentran los errores más altos por alta heterogeneidad interna.</w:t>
      </w:r>
    </w:p>
    <w:p xmlns:wp14="http://schemas.microsoft.com/office/word/2010/wordml" w:rsidP="36A5FF65" w14:paraId="5C89CFC8" wp14:textId="77777777">
      <w:pPr>
        <w:jc w:val="center"/>
        <w:rPr>
          <w:rStyle w:val="17"/>
          <w:lang w:val="en"/>
        </w:rPr>
      </w:pPr>
      <w:r w:rsidR="36A5FF65">
        <w:drawing>
          <wp:inline xmlns:wp14="http://schemas.microsoft.com/office/word/2010/wordprocessingDrawing" wp14:editId="43464BA5" wp14:anchorId="2937FEE0">
            <wp:extent cx="2686708" cy="2339712"/>
            <wp:effectExtent l="0" t="0" r="0" b="0"/>
            <wp:docPr id="19" name="fig9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" name="fig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86708" cy="23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6A5FF65" w14:paraId="004474F6" wp14:textId="77777777">
      <w:pPr>
        <w:jc w:val="center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Figura 7. LightGBM — RMSE por departamento (top 25). Sucre, Chocó y Putumayo presentan los mayores errores, coincidiendo con regiones de menor desarrollo económico relativo.</w:t>
      </w:r>
    </w:p>
    <w:p xmlns:wp14="http://schemas.microsoft.com/office/word/2010/wordml" w:rsidP="36A5FF65" w14:paraId="736859AC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4.4 Módulo de Inferencia y Confianza</w:t>
      </w:r>
    </w:p>
    <w:p xmlns:wp14="http://schemas.microsoft.com/office/word/2010/wordml" w:rsidP="36A5FF65" w14:paraId="230B8FA4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Las predicciones de confianza MEDIA (84,4 %) obtienen RMSE ≈ 9,1 frente a RMSE ≈ 11,4 de confianza BAJA (15,6 %). El diferencial de 2,3 puntos confirma que los tres flags empíricos son informativos y permiten priorizar alertas institucionales según nivel de certeza. Para contrastar con LightGBM, la Figura 6 muestra la curva de aprendizaje del Transformer encoder. A diferencia de LightGBM, el Transformer exhibe una brecha considerable entre la curva de validación (≈10,4 puntos RMSE) y el RMSE real en test (16,79), lo que evidencia sobreajuste a las entidades de validación y generalizaón deficiente al conjunto de prueba 2024.</w:t>
      </w:r>
    </w:p>
    <w:p xmlns:wp14="http://schemas.microsoft.com/office/word/2010/wordml" w14:paraId="3F0117A6" wp14:textId="77777777">
      <w:pPr>
        <w:spacing w:before="40" w:after="40"/>
        <w:jc w:val="center"/>
      </w:pPr>
      <w:r>
        <w:drawing>
          <wp:inline xmlns:wp14="http://schemas.microsoft.com/office/word/2010/wordprocessingDrawing" distT="0" distB="0" distL="0" distR="0" wp14:anchorId="131D4194" wp14:editId="7777777">
            <wp:extent cx="4047490" cy="2024380"/>
            <wp:effectExtent l="0" t="0" r="6350" b="2540"/>
            <wp:docPr id="20" name="fig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ig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749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6A5FF65" w14:paraId="65D0FAC4" wp14:textId="77777777">
      <w:pPr>
        <w:jc w:val="center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Figura 6. Transformer — Curva de aprendizaje. La brecha entre validación (≈10,4) y test (16,79) indica generalización deficiente.</w:t>
      </w:r>
    </w:p>
    <w:p xmlns:wp14="http://schemas.microsoft.com/office/word/2010/wordml" w:rsidP="36A5FF65" w14:paraId="1A79D3BD" wp14:textId="77777777">
      <w:pPr>
        <w:jc w:val="both"/>
        <w:rPr>
          <w:rStyle w:val="17"/>
          <w:b w:val="1"/>
          <w:bCs w:val="1"/>
          <w:lang w:val="en-US"/>
        </w:rPr>
      </w:pPr>
      <w:r w:rsidRPr="36A5FF65" w:rsidR="36A5FF65">
        <w:rPr>
          <w:rStyle w:val="17"/>
          <w:b w:val="1"/>
          <w:bCs w:val="1"/>
          <w:lang w:val="en-US"/>
        </w:rPr>
        <w:t>5 Discusión</w:t>
      </w:r>
    </w:p>
    <w:p xmlns:wp14="http://schemas.microsoft.com/office/word/2010/wordml" w:rsidP="36A5FF65" w14:paraId="218C96EE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5.1 Inercia Institucional como Predictor Dominante</w:t>
      </w:r>
    </w:p>
    <w:p xmlns:wp14="http://schemas.microsoft.com/office/word/2010/wordml" w:rsidP="36A5FF65" w14:paraId="4C04A589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El patrón SHAP es consistente con la inercia institucional documentada en EDM: Romero y Ventura [7] identifican que el desempeño académico pasado es el predictor más robusto del desempeño futuro, y Behr et al. [8] confirman este hallazgo en predicción de abandono universitario. Los programas tienden a mantener su nivel relativo de desempeño entre ciclos, lo que justifica que el historial de PROMEDIO_GLOBAL sea suficiente para alcanzar R² = 0,706 sin variables de proceso internas.</w:t>
      </w:r>
    </w:p>
    <w:p xmlns:wp14="http://schemas.microsoft.com/office/word/2010/wordml" w:rsidP="36A5FF65" w14:paraId="147C5923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5.2 Por Qué LightGBM Supera al Transformer</w:t>
      </w:r>
    </w:p>
    <w:p xmlns:wp14="http://schemas.microsoft.com/office/word/2010/wordml" w:rsidP="36A5FF65" w14:paraId="20946329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La brecha (R² = 0,706 vs. 0,048) confirma cuatro factores estructurales: asimetría de muestras efectivas (ratio 3,05×), ausencia de features categóricas aprendibles en el Transformer, brecha val/test de 6,4 puntos por sobreajuste, y 51,7 % de secuencias con padding. Estas condiciones replican el régimen descrito por Grinsztajn et al. [11] y Shwartz-Ziv y Armon [12].</w:t>
      </w:r>
    </w:p>
    <w:p xmlns:wp14="http://schemas.microsoft.com/office/word/2010/wordml" w:rsidP="36A5FF65" w14:paraId="262B8434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5.3 Contribución Metodológica: Catálogo de Fugas</w:t>
      </w:r>
    </w:p>
    <w:p xmlns:wp14="http://schemas.microsoft.com/office/word/2010/wordml" w:rsidP="36A5FF65" w14:paraId="4F17FA62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La documentación de seis tipos de fuga con ΔR² ≈ 0,22 llena un vacío metodológico identificado por Kaufman et al. [9]. La revisión de Rangel-Mora y Pérez-Roa [16], Chafla et al. [21] y Acıslı-Celik y Yesilkanat [22] confirma que ningún trabajo previo audita sistemáticamente fugas en paneles con publicación anual. El catálogo es transferible a PISA y otros exámenes de estado latinoamericanos.</w:t>
      </w:r>
    </w:p>
    <w:p xmlns:wp14="http://schemas.microsoft.com/office/word/2010/wordml" w:rsidP="36A5FF65" w14:paraId="1A55D15D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5.4 Implicaciones para Política Educativa</w:t>
      </w:r>
    </w:p>
    <w:p xmlns:wp14="http://schemas.microsoft.com/office/word/2010/wordml" w:rsidP="36A5FF65" w14:paraId="38D6AFF7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El SACES colombiano incorpora Saber Pro como insumo central para registro calificado y acreditación [15]. Un sistema que anticipe el PROMEDIO_GLOBAL un año antes transforma la gestión de calidad de reactiva a proactiva. Esta lógica es análoga a la propuesta por López-García et al. [26] para detección de fracaso estudiantil en la Universidad Industrial de Santander, aunque el presente trabajo opera a nivel programa-institución, complementándola. Los NBC con SHAP negativo y los departamentos con mayor RMSE señalan prioridades concretas de intervención y de recoleción de datos socioeconómicos externos.</w:t>
      </w:r>
    </w:p>
    <w:p xmlns:wp14="http://schemas.microsoft.com/office/word/2010/wordml" w:rsidP="36A5FF65" w14:paraId="19F1C50D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5.5 Limitaciones</w:t>
      </w:r>
    </w:p>
    <w:p xmlns:wp14="http://schemas.microsoft.com/office/word/2010/wordml" w:rsidP="36A5FF65" w14:paraId="3B07E351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L1: el período 2020–2024 incluye años atípicos de pandemia. L2: granularidad agregada a nivel programa-institución, sin datos individuales [7], [8]. L3: no se incluyen variables socioeconómicas externas [26]. L4: el catálogo de pruebas cambia entre años. L5: validación de un único horizonte (t→t+1). L6: sin intervalos de confianza formales por ausencia de walk-forward [9]. L7: la categoría Sin Clasificar requiere reclasificador previo.</w:t>
      </w:r>
    </w:p>
    <w:p xmlns:wp14="http://schemas.microsoft.com/office/word/2010/wordml" w:rsidP="36A5FF65" w14:paraId="365621AA" wp14:textId="77777777">
      <w:pPr>
        <w:jc w:val="both"/>
        <w:rPr>
          <w:rStyle w:val="17"/>
          <w:b w:val="1"/>
          <w:bCs w:val="1"/>
          <w:lang w:val="en-US"/>
        </w:rPr>
      </w:pPr>
      <w:r w:rsidRPr="36A5FF65" w:rsidR="36A5FF65">
        <w:rPr>
          <w:rStyle w:val="17"/>
          <w:b w:val="1"/>
          <w:bCs w:val="1"/>
          <w:lang w:val="en-US"/>
        </w:rPr>
        <w:t>6 Conclusiones y Trabajo Futuro</w:t>
      </w:r>
    </w:p>
    <w:p xmlns:wp14="http://schemas.microsoft.com/office/word/2010/wordml" w:rsidP="36A5FF65" w14:paraId="175CC529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6.1 Conclusiones</w:t>
      </w:r>
    </w:p>
    <w:p xmlns:wp14="http://schemas.microsoft.com/office/word/2010/wordml" w:rsidP="36A5FF65" w14:paraId="449F7277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El presente trabajo demuestra que es posible predecir el PROMEDIO_GLOBAL de Saber Pro a nivel de programa académico con un año de anticipación, alcanzando R² = 0,706 y RMSE = 9,33 puntos sobre el conjunto de prueba 2024, a partir exclusivamente de datos públicos del ICFES. Este resultado valida que la inercia institucional capturada por los rezagos temporales contiene suficiente señal para habilitar una gestión curricular proactiva.</w:t>
      </w:r>
    </w:p>
    <w:p xmlns:wp14="http://schemas.microsoft.com/office/word/2010/wordml" w:rsidP="36A5FF65" w14:paraId="3EF9DA27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La contribución metodológica más relevante es la documentación sistemática de seis tipos de fuga de información con impacto conjunto ΔR² ≈ 0,22, inédita en la literatura EDM para datos de exámenes de estado con estructura long-format y publicación anual. La comparación entre modelos confirma que LightGBM supera a los baselines lineales en 7,4 % de RMSE, y que el Transformer no resulta competitivo por cuatro factores estructurales consistentes con la evidencia de [11] y [12]. El módulo de inferencia entrega flags de confianza informativos con un diferencial de 2,3 puntos de RMSE entre categorías.</w:t>
      </w:r>
    </w:p>
    <w:p xmlns:wp14="http://schemas.microsoft.com/office/word/2010/wordml" w:rsidP="36A5FF65" w14:paraId="76EBF767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6.2 Trabajo Futuro</w:t>
      </w:r>
    </w:p>
    <w:p xmlns:wp14="http://schemas.microsoft.com/office/word/2010/wordml" w:rsidP="36A5FF65" w14:paraId="5F7BC117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Seis líneas de extensión se identifican como prioritarias. TF1: incorporar variables socioeconómicas externas (Sisbén, IDH municipal, gasto por estudiante) para reducir el error en departamentos como Sucre, Chocó y Putumayo. TF2: extender a predicción multi-horizonte (t+1 y t+2) para ampliar la ventana de intervención curricular. TF3: dotar al Transformer de embeddings aprendibles para NBC y NOMBRE_PRUEBA y repetir el experimento bajo las mismas condiciones. TF4: habilitar fine-tuning anual incremental sin reentrenamiento completo. TF5: realizar análisis formal de equidad por región y modalidad antes de cualquier despliegue institucional. TF6: ejecutar validación walk-forward multi-split para reportar intervalos de confianza formales sobre las diferencias entre modelos.</w:t>
      </w:r>
    </w:p>
    <w:p xmlns:wp14="http://schemas.microsoft.com/office/word/2010/wordml" w:rsidP="36A5FF65" w14:paraId="1E120EB9" wp14:textId="77777777">
      <w:pPr>
        <w:jc w:val="both"/>
        <w:rPr>
          <w:rStyle w:val="17"/>
          <w:b w:val="1"/>
          <w:bCs w:val="1"/>
          <w:lang w:val="en-US"/>
        </w:rPr>
      </w:pPr>
      <w:r w:rsidRPr="36A5FF65" w:rsidR="36A5FF65">
        <w:rPr>
          <w:rStyle w:val="17"/>
          <w:b w:val="1"/>
          <w:bCs w:val="1"/>
          <w:lang w:val="en-US"/>
        </w:rPr>
        <w:t>Agradecimientos</w:t>
      </w:r>
    </w:p>
    <w:p xmlns:wp14="http://schemas.microsoft.com/office/word/2010/wordml" w:rsidP="36A5FF65" w14:paraId="6C94BA71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Los autores agradecen al ICFES por la publicación abierta de los microdatos agregados de Saber Pro 2020–2024.</w:t>
      </w:r>
    </w:p>
    <w:p xmlns:wp14="http://schemas.microsoft.com/office/word/2010/wordml" w:rsidP="36A5FF65" w14:paraId="4EB08F2C" wp14:textId="77777777">
      <w:pPr>
        <w:jc w:val="both"/>
        <w:rPr>
          <w:rStyle w:val="17"/>
          <w:b w:val="1"/>
          <w:bCs w:val="1"/>
          <w:lang w:val="en-US"/>
        </w:rPr>
      </w:pPr>
      <w:r w:rsidRPr="36A5FF65" w:rsidR="36A5FF65">
        <w:rPr>
          <w:rStyle w:val="17"/>
          <w:b w:val="1"/>
          <w:bCs w:val="1"/>
          <w:lang w:val="en-US"/>
        </w:rPr>
        <w:t>Referencias</w:t>
      </w:r>
    </w:p>
    <w:p xmlns:wp14="http://schemas.microsoft.com/office/word/2010/wordml" w:rsidP="36A5FF65" w14:paraId="47DFC23C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[1] ICFES, “Resultados Saber Pro 2020–2024,” Instituto Colombiano para la Evaluación de la Educación, Bogotá, Colombia, 2024.</w:t>
      </w:r>
    </w:p>
    <w:p xmlns:wp14="http://schemas.microsoft.com/office/word/2010/wordml" w:rsidP="473E729D" w14:paraId="188110D0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[2] T. Chen y C. Guestrin, “XGBoost: A scalable tree boosting system,” en Proc. 22nd ACM SIGKDD, 2016, pp. 785–794.</w:t>
      </w:r>
    </w:p>
    <w:p xmlns:wp14="http://schemas.microsoft.com/office/word/2010/wordml" w:rsidP="473E729D" w14:paraId="6E259169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[3] G. Ke et al., “LightGBM: A highly efficient gradient boosting decision tree,” en Adv. Neural Inf. Process. Syst., vol. 30, 2017.</w:t>
      </w:r>
    </w:p>
    <w:p xmlns:wp14="http://schemas.microsoft.com/office/word/2010/wordml" w:rsidP="473E729D" w14:paraId="7B98E3B0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[4] T. Akiba et al., “Optuna: A next-generation hyperparameter optimization framework,” en Proc. 25th ACM SIGKDD, 2019.</w:t>
      </w:r>
    </w:p>
    <w:p xmlns:wp14="http://schemas.microsoft.com/office/word/2010/wordml" w:rsidP="473E729D" w14:paraId="2DA0D6EC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[5] A. Vaswani et al., “Attention is all you need,” en Adv. Neural Inf. Process. Syst., vol. 30, 2017.</w:t>
      </w:r>
    </w:p>
    <w:p xmlns:wp14="http://schemas.microsoft.com/office/word/2010/wordml" w:rsidP="473E729D" w14:paraId="015817F2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[6] S. M. Lundberg y S.-I. Lee, “A unified approach to interpreting model predictions,” en Adv. Neural Inf. Process. Syst., vol. 30, 2017.</w:t>
      </w:r>
    </w:p>
    <w:p xmlns:wp14="http://schemas.microsoft.com/office/word/2010/wordml" w:rsidP="473E729D" w14:paraId="1DE9E02B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[7] C. Romero y S. Ventura, “Educational data mining: A review of the state of the art,” IEEE Trans. Syst., Man, Cybern. C, vol. 40, n.º 6, pp. 601–618, 2010.</w:t>
      </w:r>
    </w:p>
    <w:p xmlns:wp14="http://schemas.microsoft.com/office/word/2010/wordml" w:rsidP="473E729D" w14:paraId="03AA1039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[8] J. Behr et al., “Early prediction of university dropouts — A random forest approach,” J. Educ. Comput. Res., vol. 60, n.º 5, pp. 1109–1148, 2022.</w:t>
      </w:r>
    </w:p>
    <w:p xmlns:wp14="http://schemas.microsoft.com/office/word/2010/wordml" w:rsidP="473E729D" w14:paraId="207385B0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[9] S. Kaufman, S. Rosset y C. Perlich, “Leakage in data mining: Formulation, detection, and avoidance,” ACM Trans. Knowl. Discov. Data, vol. 6, n.º 4, 2012.</w:t>
      </w:r>
    </w:p>
    <w:p xmlns:wp14="http://schemas.microsoft.com/office/word/2010/wordml" w:rsidP="473E729D" w14:paraId="70278599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[10] Y. Gorishniy et al., “Revisiting deep learning models for tabular data,” en Adv. Neural Inf. Process. Syst., vol. 34, 2021.</w:t>
      </w:r>
    </w:p>
    <w:p xmlns:wp14="http://schemas.microsoft.com/office/word/2010/wordml" w:rsidP="473E729D" w14:paraId="3D41E0E6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[11] L. Grinsztajn, E. Oyallon y G. Varoquaux, “Why do tree-based models still outperform deep learning on typical tabular data?,” en Adv. Neural Inf. Process. Syst., vol. 35, 2022.</w:t>
      </w:r>
    </w:p>
    <w:p xmlns:wp14="http://schemas.microsoft.com/office/word/2010/wordml" w14:paraId="05F7D697" wp14:textId="77777777">
      <w:pPr>
        <w:jc w:val="both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t>[12] R. Shwartz-Ziv y A. Armon, “Tabular data: Deep learning is not all you need,” Inf. Fusion, vol. 81, pp. 84–90, 2022.</w:t>
      </w:r>
    </w:p>
    <w:p xmlns:wp14="http://schemas.microsoft.com/office/word/2010/wordml" w14:paraId="231611DA" wp14:textId="77777777">
      <w:pPr>
        <w:jc w:val="both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t>[13] F. Pedregosa et al., “Scikit-learn: Machine learning in Python,” J. Mach. Learn. Res., vol. 12, pp. 2825–2830, 2011.</w:t>
      </w:r>
    </w:p>
    <w:p xmlns:wp14="http://schemas.microsoft.com/office/word/2010/wordml" w:rsidP="473E729D" w14:paraId="1E5EDC24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[14] A. Paszke et al., “PyTorch: An imperative style, high-performance deep learning library,” en Adv. Neural Inf. Process. Syst., vol. 32, 2019.</w:t>
      </w:r>
    </w:p>
    <w:p xmlns:wp14="http://schemas.microsoft.com/office/word/2010/wordml" w:rsidP="473E729D" w14:paraId="45165E6E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[15] Ministerio de Educación Nacional, “Lineamientos SACES,” MEN, Bogotá, Colombia, 2023.</w:t>
      </w:r>
    </w:p>
    <w:p xmlns:wp14="http://schemas.microsoft.com/office/word/2010/wordml" w:rsidP="473E729D" w14:paraId="708605DE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[16] J. C. Rangel-Mora y A. Pérez-Roa, “Predicción del rendimiento en pruebas Saber mediante minería de datos: revisión sistemática,” Rev. Colomb. Educ., n.º 82, 2021.</w:t>
      </w:r>
    </w:p>
    <w:p xmlns:wp14="http://schemas.microsoft.com/office/word/2010/wordml" w14:paraId="0E3DBEDF" wp14:textId="77777777">
      <w:pPr>
        <w:jc w:val="both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t>[17] C. Guo y F. Berkhahn, “Entity embeddings of categorical variables,” arXiv:1604.06737, 2016.</w:t>
      </w:r>
    </w:p>
    <w:p xmlns:wp14="http://schemas.microsoft.com/office/word/2010/wordml" w:rsidP="473E729D" w14:paraId="15EAA365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[18] P. Cerda, G. Varoquaux y B. Kégl, “Similarity encoding for learning with dirty categorical variables,” Mach. Learn., vol. 107, 2018.</w:t>
      </w:r>
    </w:p>
    <w:p xmlns:wp14="http://schemas.microsoft.com/office/word/2010/wordml" w:rsidP="473E729D" w14:paraId="6C8F92DF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[19] T. Hastie, R. Tibshirani y J. Friedman, The Elements of Statistical Learning, 2.ª ed. Springer, 2009.</w:t>
      </w:r>
    </w:p>
    <w:p xmlns:wp14="http://schemas.microsoft.com/office/word/2010/wordml" w:rsidP="473E729D" w14:paraId="3B0E5298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[20] Anónimo, “Where to aim? Factors that influence the performance of Brazilian secondary schools,” en Proc. EDM, 2020.</w:t>
      </w:r>
    </w:p>
    <w:p xmlns:wp14="http://schemas.microsoft.com/office/word/2010/wordml" w14:paraId="1295AD52" wp14:textId="77777777">
      <w:pPr>
        <w:jc w:val="both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t>[21] D. Chafla, M. Morocho y J. Ortega, “Machine learning models for academic performance prediction with explainability,” Frontiers in Education, vol. 10, 2025.</w:t>
      </w:r>
    </w:p>
    <w:p xmlns:wp14="http://schemas.microsoft.com/office/word/2010/wordml" w:rsidP="473E729D" w14:paraId="6765FFC7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[22] S. Acıslı-Celik y C. M. Yesilkanat, “Predicting science achievement scores with ML: PISA 2015–2018,” Neural Comput. Appl., vol. 35, 2023.</w:t>
      </w:r>
    </w:p>
    <w:p xmlns:wp14="http://schemas.microsoft.com/office/word/2010/wordml" w:rsidP="473E729D" w14:paraId="255A3E6D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[23] G. Rasch, “An item analysis which takes individual differences into account,” British J. Math. Stat. Psychol., vol. 19, n.º 1, pp. 49–57, 1966.</w:t>
      </w:r>
    </w:p>
    <w:p xmlns:wp14="http://schemas.microsoft.com/office/word/2010/wordml" w:rsidP="473E729D" w14:paraId="016ECDFC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[24] A. E. Hoerl y R. W. Kennard, “Ridge regression: Biased estimation for nonorthogonal problems,” Technometrics, vol. 12, n.º 1, pp. 55–67, 1970.</w:t>
      </w:r>
    </w:p>
    <w:p xmlns:wp14="http://schemas.microsoft.com/office/word/2010/wordml" w:rsidP="473E729D" w14:paraId="0CC51E40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[25] R. Tibshirani, “Regression shrinkage and selection via the lasso,” J. Royal Stat. Soc. B, vol. 58, n.º 1, pp. 267–288, 1996.</w:t>
      </w:r>
    </w:p>
    <w:p xmlns:wp14="http://schemas.microsoft.com/office/word/2010/wordml" w14:paraId="7BB120C4" wp14:textId="77777777">
      <w:pPr>
        <w:jc w:val="both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t>[26] A. López-García et al., “Early detection of students’ failure using machine learning techniques,” Operations Research Perspectives, vol. 11, 2023.</w:t>
      </w:r>
    </w:p>
    <w:sectPr>
      <w:headerReference w:type="first" r:id="rId7"/>
      <w:footerReference w:type="first" r:id="rId8"/>
      <w:headerReference w:type="default" r:id="rId5"/>
      <w:headerReference w:type="even" r:id="rId6"/>
      <w:pgSz w:w="12240" w:h="15840" w:orient="portrait"/>
      <w:pgMar w:top="1417" w:right="1701" w:bottom="1417" w:left="1701" w:header="708" w:footer="708" w:gutter="0"/>
      <w:pgNumType w:start="3"/>
      <w:cols w:space="708" w:num="1"/>
      <w:titlePg/>
      <w:docGrid w:linePitch="360" w:charSpace="0"/>
      <w:footerReference w:type="default" r:id="R497aee37872648f0"/>
      <w:footerReference w:type="even" r:id="R18526df984d849b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5578717"/>
      <w:docPartObj>
        <w:docPartGallery w:val="autotext"/>
      </w:docPartObj>
    </w:sdtPr>
    <w:sdtContent>
      <w:p xmlns:wp14="http://schemas.microsoft.com/office/word/2010/wordml" w14:paraId="3F423570" wp14:textId="77777777">
        <w:pPr>
          <w:pStyle w:val="7"/>
          <w:rPr>
            <w:sz w:val="20"/>
          </w:rPr>
        </w:pPr>
        <w:r>
          <w:rPr>
            <w:sz w:val="20"/>
          </w:rPr>
          <w:t>Fecha de recepción: septiembre 1, 2020 / Fecha de aceptación: octubre 5, 2020</w:t>
        </w:r>
      </w:p>
      <w:p xmlns:wp14="http://schemas.microsoft.com/office/word/2010/wordml" w14:paraId="6A08D909" wp14:textId="77777777">
        <w:pPr>
          <w:pStyle w:val="7"/>
          <w:jc w:val="center"/>
        </w:pPr>
      </w:p>
    </w:sdtContent>
  </w:sdt>
  <w:p xmlns:wp14="http://schemas.microsoft.com/office/word/2010/wordml" w14:paraId="3780FA6E" wp14:textId="77777777">
    <w:pPr>
      <w:pStyle w:val="7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3"/>
      <w:bidiVisual w:val="0"/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473E729D" w:rsidTr="473E729D" w14:paraId="6E207A22">
      <w:trPr>
        <w:trHeight w:val="300"/>
      </w:trPr>
      <w:tc>
        <w:tcPr>
          <w:tcW w:w="2945" w:type="dxa"/>
          <w:tcMar/>
        </w:tcPr>
        <w:p w:rsidR="473E729D" w:rsidP="473E729D" w:rsidRDefault="473E729D" w14:paraId="3D906825" w14:textId="6AF8BEC9">
          <w:pPr>
            <w:pStyle w:val="6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473E729D" w:rsidP="473E729D" w:rsidRDefault="473E729D" w14:paraId="5752338E" w14:textId="1A5066E5">
          <w:pPr>
            <w:pStyle w:val="6"/>
            <w:bidi w:val="0"/>
            <w:jc w:val="center"/>
          </w:pPr>
        </w:p>
      </w:tc>
      <w:tc>
        <w:tcPr>
          <w:tcW w:w="2945" w:type="dxa"/>
          <w:tcMar/>
        </w:tcPr>
        <w:p w:rsidR="473E729D" w:rsidP="473E729D" w:rsidRDefault="473E729D" w14:paraId="15F4523A" w14:textId="39D571DA">
          <w:pPr>
            <w:pStyle w:val="6"/>
            <w:bidi w:val="0"/>
            <w:ind w:right="-115"/>
            <w:jc w:val="right"/>
          </w:pPr>
        </w:p>
      </w:tc>
    </w:tr>
  </w:tbl>
  <w:p w:rsidR="473E729D" w:rsidP="473E729D" w:rsidRDefault="473E729D" w14:paraId="5EB20CE7" w14:textId="639BEF31">
    <w:pPr>
      <w:pStyle w:val="7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3"/>
      <w:bidiVisual w:val="0"/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473E729D" w:rsidTr="473E729D" w14:paraId="32E4FE96">
      <w:trPr>
        <w:trHeight w:val="300"/>
      </w:trPr>
      <w:tc>
        <w:tcPr>
          <w:tcW w:w="2945" w:type="dxa"/>
          <w:tcMar/>
        </w:tcPr>
        <w:p w:rsidR="473E729D" w:rsidP="473E729D" w:rsidRDefault="473E729D" w14:paraId="225C7A9A" w14:textId="6276DE1A">
          <w:pPr>
            <w:pStyle w:val="6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473E729D" w:rsidP="473E729D" w:rsidRDefault="473E729D" w14:paraId="47FBA2BA" w14:textId="1858D725">
          <w:pPr>
            <w:pStyle w:val="6"/>
            <w:bidi w:val="0"/>
            <w:jc w:val="center"/>
          </w:pPr>
        </w:p>
      </w:tc>
      <w:tc>
        <w:tcPr>
          <w:tcW w:w="2945" w:type="dxa"/>
          <w:tcMar/>
        </w:tcPr>
        <w:p w:rsidR="473E729D" w:rsidP="473E729D" w:rsidRDefault="473E729D" w14:paraId="75BDF01C" w14:textId="0B664CB4">
          <w:pPr>
            <w:pStyle w:val="6"/>
            <w:bidi w:val="0"/>
            <w:ind w:right="-115"/>
            <w:jc w:val="right"/>
          </w:pPr>
        </w:p>
      </w:tc>
    </w:tr>
  </w:tbl>
  <w:p w:rsidR="473E729D" w:rsidP="473E729D" w:rsidRDefault="473E729D" w14:paraId="69AF5CCB" w14:textId="42C3DD17">
    <w:pPr>
      <w:pStyle w:val="7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59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521"/>
      <w:gridCol w:w="2307"/>
    </w:tblGrid>
    <w:tr xmlns:wp14="http://schemas.microsoft.com/office/word/2010/wordml" w14:paraId="273ABDA2" wp14:textId="77777777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521" w:type="dxa"/>
        </w:tcPr>
        <w:p w14:paraId="097B0769" wp14:textId="77777777">
          <w:pPr>
            <w:pStyle w:val="6"/>
            <w:rPr>
              <w:lang w:val="en-US"/>
            </w:rPr>
          </w:pPr>
          <w:r>
            <w:rPr>
              <w:lang w:val="en-US"/>
            </w:rPr>
            <w:t xml:space="preserve">D. Beltrán et al. / Abstraction &amp; Application </w:t>
          </w:r>
          <w:r>
            <w:rPr>
              <w:b/>
              <w:lang w:val="en-US"/>
            </w:rPr>
            <w:t>41</w:t>
          </w:r>
          <w:r>
            <w:rPr>
              <w:lang w:val="en-US"/>
            </w:rPr>
            <w:t xml:space="preserve"> (2023) 3 - 16</w:t>
          </w:r>
        </w:p>
      </w:tc>
      <w:tc>
        <w:tcPr>
          <w:tcW w:w="2307" w:type="dxa"/>
        </w:tcPr>
        <w:p w14:paraId="4FD80E8D" wp14:textId="77777777">
          <w:pPr>
            <w:pStyle w:val="6"/>
            <w:jc w:val="right"/>
            <w:rPr>
              <w:rFonts w:hint="default"/>
              <w:lang w:val="es-CO"/>
            </w:rPr>
          </w:pPr>
        </w:p>
        <w:p w14:paraId="2EB31509" wp14:textId="77777777">
          <w:pPr>
            <w:pStyle w:val="6"/>
            <w:jc w:val="right"/>
          </w:pPr>
        </w:p>
      </w:tc>
    </w:tr>
  </w:tbl>
  <w:p xmlns:wp14="http://schemas.microsoft.com/office/word/2010/wordml" w14:paraId="1389AEA5" wp14:textId="77777777">
    <w:pPr>
      <w:pStyle w:val="6"/>
    </w:pPr>
  </w:p>
  <w:p xmlns:wp14="http://schemas.microsoft.com/office/word/2010/wordml" w14:paraId="23FDABA9" wp14:textId="77777777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xmlns:wp14="http://schemas.microsoft.com/office/word/2010/wordml" w14:paraId="40F23D78" wp14:textId="77777777">
    <w:pPr>
      <w:pStyle w:val="6"/>
    </w:pPr>
    <w:sdt>
      <w:sdtPr>
        <w:id w:val="-1765987065"/>
        <w:docPartObj>
          <w:docPartGallery w:val="autotext"/>
        </w:docPartObj>
      </w:sdtPr>
      <w:sdtContent>
        <w:r>
          <w:rPr>
            <w:rFonts w:hint="default"/>
            <w:lang w:val="es-CO"/>
          </w:rPr>
          <w:t xml:space="preserve">Predicción del promedio  global de Saber Pro mediante LightGBM y auditorría de fuga temporal: Un estudio a nivel de programa académico en Colombia </w:t>
        </w:r>
      </w:sdtContent>
    </w:sdt>
  </w:p>
  <w:p xmlns:wp14="http://schemas.microsoft.com/office/word/2010/wordml" w14:paraId="282CEDBA" wp14:textId="77777777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tbl>
    <w:tblPr>
      <w:tblStyle w:val="9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524"/>
      <w:gridCol w:w="3304"/>
    </w:tblGrid>
    <w:tr xmlns:wp14="http://schemas.microsoft.com/office/word/2010/wordml" w14:paraId="2C68E7BA" wp14:textId="77777777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24" w:type="dxa"/>
        </w:tcPr>
        <w:p w14:paraId="3FB65ADC" wp14:textId="77777777">
          <w:pPr>
            <w:pStyle w:val="6"/>
            <w:rPr>
              <w:lang w:val="en-US"/>
            </w:rPr>
          </w:pPr>
        </w:p>
        <w:p w14:paraId="51C87AFE" wp14:textId="77777777">
          <w:pPr>
            <w:pStyle w:val="6"/>
            <w:rPr>
              <w:lang w:val="en-US"/>
            </w:rPr>
          </w:pPr>
        </w:p>
        <w:p w14:paraId="132350A5" wp14:textId="77777777">
          <w:pPr>
            <w:pStyle w:val="6"/>
            <w:rPr>
              <w:lang w:val="en-US"/>
            </w:rPr>
          </w:pPr>
        </w:p>
        <w:p w14:paraId="4CD992C5" wp14:textId="77777777">
          <w:pPr>
            <w:pStyle w:val="6"/>
            <w:rPr>
              <w:lang w:val="en-US"/>
            </w:rPr>
          </w:pPr>
          <w:r>
            <w:rPr>
              <w:lang w:val="en-US"/>
            </w:rPr>
            <w:t>Abstraction &amp; Application (202</w:t>
          </w:r>
          <w:r>
            <w:rPr>
              <w:rFonts w:hint="default"/>
              <w:lang w:val="es-CO"/>
            </w:rPr>
            <w:t>6</w:t>
          </w:r>
          <w:r>
            <w:rPr>
              <w:lang w:val="en-US"/>
            </w:rPr>
            <w:t xml:space="preserve">) </w:t>
          </w:r>
        </w:p>
      </w:tc>
      <w:tc>
        <w:tcPr>
          <w:tcW w:w="3304" w:type="dxa"/>
        </w:tcPr>
        <w:p w14:paraId="51E07EAF" wp14:textId="77777777">
          <w:pPr>
            <w:pStyle w:val="6"/>
            <w:jc w:val="right"/>
          </w:pPr>
          <w:r>
            <w:t xml:space="preserve">UADY  </w:t>
          </w:r>
          <w:r>
            <w:rPr>
              <w:lang w:val="en-US"/>
            </w:rPr>
            <w:drawing>
              <wp:inline xmlns:wp14="http://schemas.microsoft.com/office/word/2010/wordprocessingDrawing" distT="0" distB="0" distL="0" distR="0" wp14:anchorId="185771DF" wp14:editId="7777777">
                <wp:extent cx="433705" cy="751205"/>
                <wp:effectExtent l="0" t="0" r="4445" b="0"/>
                <wp:docPr id="4" name="Imagen 4" descr="C:\Users\mramirez\Documents\2016\sem2-2016\Abstraction &amp; Application\Template\uady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4" descr="C:\Users\mramirez\Documents\2016\sem2-2016\Abstraction &amp; Application\Template\uady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457966" cy="7924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xmlns:wp14="http://schemas.microsoft.com/office/word/2010/wordml" w14:paraId="4F8E907A" wp14:textId="77777777">
    <w:pPr>
      <w:pStyle w:val="6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80"/>
  <w:bordersDoNotSurroundHeader w:val="0"/>
  <w:bordersDoNotSurroundFooter w:val="0"/>
  <w:trackRevisions w:val="false"/>
  <w:documentProtection w:enforcement="0"/>
  <w:defaultTabStop w:val="708"/>
  <w:hyphenationZone w:val="425"/>
  <w:evenAndOddHeaders w:val="1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3CD"/>
    <w:rsid w:val="000178AF"/>
    <w:rsid w:val="00035DF3"/>
    <w:rsid w:val="000566BC"/>
    <w:rsid w:val="0007482E"/>
    <w:rsid w:val="000A266E"/>
    <w:rsid w:val="000B2189"/>
    <w:rsid w:val="000B4746"/>
    <w:rsid w:val="000D2C26"/>
    <w:rsid w:val="000F27BA"/>
    <w:rsid w:val="0011308C"/>
    <w:rsid w:val="00136702"/>
    <w:rsid w:val="00144FB7"/>
    <w:rsid w:val="001A0190"/>
    <w:rsid w:val="001A0AE0"/>
    <w:rsid w:val="001A4218"/>
    <w:rsid w:val="00204BC1"/>
    <w:rsid w:val="002056E9"/>
    <w:rsid w:val="00232E02"/>
    <w:rsid w:val="00241745"/>
    <w:rsid w:val="00247B94"/>
    <w:rsid w:val="00276974"/>
    <w:rsid w:val="002A581B"/>
    <w:rsid w:val="002B0C1A"/>
    <w:rsid w:val="002C2899"/>
    <w:rsid w:val="002D7C46"/>
    <w:rsid w:val="002E2E33"/>
    <w:rsid w:val="003148F9"/>
    <w:rsid w:val="0031679F"/>
    <w:rsid w:val="00316941"/>
    <w:rsid w:val="00321897"/>
    <w:rsid w:val="003312E1"/>
    <w:rsid w:val="003372AD"/>
    <w:rsid w:val="00347E4A"/>
    <w:rsid w:val="00354B44"/>
    <w:rsid w:val="00383059"/>
    <w:rsid w:val="003833BE"/>
    <w:rsid w:val="0038376B"/>
    <w:rsid w:val="00387225"/>
    <w:rsid w:val="00422AE9"/>
    <w:rsid w:val="00433632"/>
    <w:rsid w:val="004478E4"/>
    <w:rsid w:val="0046319C"/>
    <w:rsid w:val="00493E89"/>
    <w:rsid w:val="004A3DB6"/>
    <w:rsid w:val="004A7BD8"/>
    <w:rsid w:val="00505ED3"/>
    <w:rsid w:val="00512430"/>
    <w:rsid w:val="00537C1D"/>
    <w:rsid w:val="00543415"/>
    <w:rsid w:val="00562712"/>
    <w:rsid w:val="005656F5"/>
    <w:rsid w:val="005A321A"/>
    <w:rsid w:val="005F1C18"/>
    <w:rsid w:val="006031A8"/>
    <w:rsid w:val="00617E5B"/>
    <w:rsid w:val="006413B2"/>
    <w:rsid w:val="00642B2A"/>
    <w:rsid w:val="006632C2"/>
    <w:rsid w:val="006810AE"/>
    <w:rsid w:val="0068692F"/>
    <w:rsid w:val="006950BA"/>
    <w:rsid w:val="00696124"/>
    <w:rsid w:val="006A15EE"/>
    <w:rsid w:val="006B617A"/>
    <w:rsid w:val="006D1C29"/>
    <w:rsid w:val="006E1E0A"/>
    <w:rsid w:val="006F72A8"/>
    <w:rsid w:val="007159E6"/>
    <w:rsid w:val="00771EEC"/>
    <w:rsid w:val="007837E2"/>
    <w:rsid w:val="00785157"/>
    <w:rsid w:val="00797CD9"/>
    <w:rsid w:val="007B613E"/>
    <w:rsid w:val="007C2273"/>
    <w:rsid w:val="008216F9"/>
    <w:rsid w:val="00852A1A"/>
    <w:rsid w:val="00895983"/>
    <w:rsid w:val="008B0BCF"/>
    <w:rsid w:val="008F7405"/>
    <w:rsid w:val="009020F9"/>
    <w:rsid w:val="00902151"/>
    <w:rsid w:val="009076C0"/>
    <w:rsid w:val="009327CC"/>
    <w:rsid w:val="00940814"/>
    <w:rsid w:val="009518B9"/>
    <w:rsid w:val="00954DFB"/>
    <w:rsid w:val="0098426C"/>
    <w:rsid w:val="009D16A6"/>
    <w:rsid w:val="009D7DA3"/>
    <w:rsid w:val="009E09B2"/>
    <w:rsid w:val="00A068A6"/>
    <w:rsid w:val="00A8027F"/>
    <w:rsid w:val="00A81754"/>
    <w:rsid w:val="00AA2FF6"/>
    <w:rsid w:val="00AA6CFE"/>
    <w:rsid w:val="00AC27F4"/>
    <w:rsid w:val="00AF4BF9"/>
    <w:rsid w:val="00AF5D6F"/>
    <w:rsid w:val="00B070ED"/>
    <w:rsid w:val="00B1337C"/>
    <w:rsid w:val="00B52E54"/>
    <w:rsid w:val="00B715FD"/>
    <w:rsid w:val="00B81BFF"/>
    <w:rsid w:val="00BA1E63"/>
    <w:rsid w:val="00BA25D6"/>
    <w:rsid w:val="00BE486D"/>
    <w:rsid w:val="00BE6CF2"/>
    <w:rsid w:val="00C2429A"/>
    <w:rsid w:val="00C26EBB"/>
    <w:rsid w:val="00C65D07"/>
    <w:rsid w:val="00C7650B"/>
    <w:rsid w:val="00C95798"/>
    <w:rsid w:val="00C969F1"/>
    <w:rsid w:val="00CA0979"/>
    <w:rsid w:val="00CC2318"/>
    <w:rsid w:val="00CF2CE6"/>
    <w:rsid w:val="00D355AE"/>
    <w:rsid w:val="00D57BF6"/>
    <w:rsid w:val="00D75259"/>
    <w:rsid w:val="00DA4300"/>
    <w:rsid w:val="00DC1346"/>
    <w:rsid w:val="00DD6ABE"/>
    <w:rsid w:val="00DE52DA"/>
    <w:rsid w:val="00E03CA8"/>
    <w:rsid w:val="00E34D0D"/>
    <w:rsid w:val="00E462E9"/>
    <w:rsid w:val="00E517AC"/>
    <w:rsid w:val="00E639E7"/>
    <w:rsid w:val="00E70EEA"/>
    <w:rsid w:val="00E83A59"/>
    <w:rsid w:val="00F25A59"/>
    <w:rsid w:val="00F345CA"/>
    <w:rsid w:val="00F41DED"/>
    <w:rsid w:val="00F52987"/>
    <w:rsid w:val="00F66156"/>
    <w:rsid w:val="00F75A76"/>
    <w:rsid w:val="00FB33CD"/>
    <w:rsid w:val="00FB545B"/>
    <w:rsid w:val="00FC4A8A"/>
    <w:rsid w:val="00FD0DBF"/>
    <w:rsid w:val="00FE2640"/>
    <w:rsid w:val="0666039B"/>
    <w:rsid w:val="2E047574"/>
    <w:rsid w:val="342BDDA3"/>
    <w:rsid w:val="342BDDA3"/>
    <w:rsid w:val="36A5FF65"/>
    <w:rsid w:val="42BDCB48"/>
    <w:rsid w:val="473E729D"/>
    <w:rsid w:val="4A63C43C"/>
    <w:rsid w:val="4B915CC7"/>
    <w:rsid w:val="60A79DC1"/>
    <w:rsid w:val="617C5E13"/>
    <w:rsid w:val="65904230"/>
    <w:rsid w:val="7118E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C8D3697"/>
  <w15:docId w15:val="{E89F9E52-5C94-428B-89EF-D63C9AF9EB0A}"/>
  <mc:AlternateContent>
    <mc:Choice Requires="wpsCustomData">
      <wpsCustomData:typoFeatureVersion val="1"/>
    </mc:Choice>
  </mc:AlternateContent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 w:qFormat="1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 w:semiHidden="0" w:unhideWhenUsed="0"/>
    <w:lsdException w:name="Balloon Text" w:uiPriority="99"/>
    <w:lsdException w:name="Table Grid" w:uiPriority="39" w:semiHidden="0" w:unhideWhenUsed="0" w:qFormat="1"/>
    <w:lsdException w:name="Table Theme" w:uiPriority="99" w:semiHidden="0" w:unhideWhenUsed="0"/>
    <w:lsdException w:name="List Paragraph" w:uiPriority="34" w:semiHidden="0" w:unhideWhenUsed="0" w:qFormat="1"/>
  </w:latentStyles>
  <w:style w:type="paragraph" w:styleId="1" w:default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MX" w:eastAsia="en-US" w:bidi="ar-SA"/>
    </w:rPr>
  </w:style>
  <w:style w:type="character" w:styleId="2" w:default="1">
    <w:name w:val="Default Paragraph Font"/>
    <w:semiHidden/>
    <w:unhideWhenUsed/>
    <w:qFormat/>
    <w:uiPriority w:val="1"/>
  </w:style>
  <w:style w:type="table" w:styleId="3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header"/>
    <w:basedOn w:val="1"/>
    <w:link w:val="11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7">
    <w:name w:val="footer"/>
    <w:basedOn w:val="1"/>
    <w:link w:val="12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8">
    <w:name w:val="Body Text"/>
    <w:basedOn w:val="1"/>
    <w:link w:val="16"/>
    <w:qFormat/>
    <w:uiPriority w:val="0"/>
    <w:pPr>
      <w:spacing w:after="0" w:line="228" w:lineRule="auto"/>
      <w:ind w:firstLine="288"/>
      <w:jc w:val="both"/>
    </w:pPr>
    <w:rPr>
      <w:rFonts w:ascii="Times New Roman" w:hAnsi="Times New Roman" w:eastAsia="SimSun" w:cs="Times New Roman"/>
      <w:spacing w:val="-1"/>
      <w:sz w:val="20"/>
      <w:szCs w:val="20"/>
      <w:lang w:val="en-US"/>
    </w:rPr>
  </w:style>
  <w:style w:type="table" w:styleId="9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styleId="11" w:customStyle="1">
    <w:name w:val="Encabezado Car"/>
    <w:basedOn w:val="2"/>
    <w:link w:val="6"/>
    <w:qFormat/>
    <w:uiPriority w:val="99"/>
  </w:style>
  <w:style w:type="character" w:styleId="12" w:customStyle="1">
    <w:name w:val="Pie de página Car"/>
    <w:basedOn w:val="2"/>
    <w:link w:val="7"/>
    <w:qFormat/>
    <w:uiPriority w:val="99"/>
  </w:style>
  <w:style w:type="character" w:styleId="13" w:customStyle="1">
    <w:name w:val="Mención sin resolver1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14" w:customStyle="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es-MX" w:eastAsia="en-US" w:bidi="ar-SA"/>
    </w:rPr>
  </w:style>
  <w:style w:type="paragraph" w:styleId="15" w:customStyle="1">
    <w:name w:val="key words"/>
    <w:qFormat/>
    <w:uiPriority w:val="0"/>
    <w:pPr>
      <w:spacing w:after="120" w:line="240" w:lineRule="auto"/>
      <w:ind w:firstLine="288"/>
      <w:jc w:val="both"/>
    </w:pPr>
    <w:rPr>
      <w:rFonts w:ascii="Times New Roman" w:hAnsi="Times New Roman" w:eastAsia="SimSun" w:cs="Times New Roman"/>
      <w:b/>
      <w:bCs/>
      <w:i/>
      <w:iCs/>
      <w:sz w:val="18"/>
      <w:szCs w:val="18"/>
      <w:lang w:val="en-US" w:eastAsia="en-US" w:bidi="ar-SA"/>
    </w:rPr>
  </w:style>
  <w:style w:type="character" w:styleId="16" w:customStyle="1">
    <w:name w:val="Texto independiente Car"/>
    <w:basedOn w:val="2"/>
    <w:link w:val="8"/>
    <w:qFormat/>
    <w:uiPriority w:val="0"/>
    <w:rPr>
      <w:rFonts w:ascii="Times New Roman" w:hAnsi="Times New Roman" w:eastAsia="SimSun" w:cs="Times New Roman"/>
      <w:spacing w:val="-1"/>
      <w:sz w:val="20"/>
      <w:szCs w:val="20"/>
      <w:lang w:val="en-US"/>
    </w:rPr>
  </w:style>
  <w:style w:type="character" w:styleId="17" w:customStyle="1">
    <w:name w:val="tlid-translation"/>
    <w:basedOn w:val="2"/>
    <w:qFormat/>
    <w:uiPriority w:val="0"/>
  </w:style>
  <w:style w:type="character" w:styleId="18" w:customStyle="1">
    <w:name w:val="rynqvb"/>
    <w:basedOn w:val="2"/>
    <w:qFormat/>
    <w:uiPriority w:val="0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9" /><Relationship Type="http://schemas.openxmlformats.org/officeDocument/2006/relationships/footer" Target="footer1.xml" Id="rId8" /><Relationship Type="http://schemas.openxmlformats.org/officeDocument/2006/relationships/header" Target="header3.xml" Id="rId7" /><Relationship Type="http://schemas.openxmlformats.org/officeDocument/2006/relationships/header" Target="header2.xml" Id="rId6" /><Relationship Type="http://schemas.openxmlformats.org/officeDocument/2006/relationships/header" Target="header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fontTable" Target="fontTable.xml" Id="rId17" /><Relationship Type="http://schemas.openxmlformats.org/officeDocument/2006/relationships/image" Target="media/image8.jpeg" Id="rId16" /><Relationship Type="http://schemas.openxmlformats.org/officeDocument/2006/relationships/image" Target="media/image7.jpeg" Id="rId15" /><Relationship Type="http://schemas.openxmlformats.org/officeDocument/2006/relationships/image" Target="media/image6.jpeg" Id="rId14" /><Relationship Type="http://schemas.openxmlformats.org/officeDocument/2006/relationships/image" Target="media/image5.jpeg" Id="rId13" /><Relationship Type="http://schemas.openxmlformats.org/officeDocument/2006/relationships/image" Target="media/image4.jpeg" Id="rId12" /><Relationship Type="http://schemas.openxmlformats.org/officeDocument/2006/relationships/image" Target="media/image3.jpeg" Id="rId11" /><Relationship Type="http://schemas.openxmlformats.org/officeDocument/2006/relationships/image" Target="media/image2.jpeg" Id="rId10" /><Relationship Type="http://schemas.openxmlformats.org/officeDocument/2006/relationships/styles" Target="styles.xml" Id="rId1" /><Relationship Type="http://schemas.openxmlformats.org/officeDocument/2006/relationships/footer" Target="/word/footer2.xml" Id="R497aee37872648f0" /><Relationship Type="http://schemas.openxmlformats.org/officeDocument/2006/relationships/footer" Target="/word/footer3.xml" Id="R18526df984d849b3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2020-08-25T06:42:00.0000000Z</dcterms:created>
  <dc:creator>Francisco Alejandro Madera Ramírez</dc:creator>
  <lastModifiedBy>NATHALIA OROZCO MORALES</lastModifiedBy>
  <lastPrinted>2020-08-25T00:11:00.0000000Z</lastPrinted>
  <dcterms:modified xsi:type="dcterms:W3CDTF">2026-07-03T18:21:58.0618949Z</dcterms:modified>
  <revision>33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eyJoZGlkIjoiMTYyZDIzM2ExOTJiZGUzZDQzZGQ4ZTMwZGYxMTZiMmUiLCJ1c2VySWQiOiIyMTk5MDIzOTgxMTA2In0=</vt:lpwstr>
  </property>
  <property fmtid="{D5CDD505-2E9C-101B-9397-08002B2CF9AE}" pid="3" name="KSOProductBuildVer">
    <vt:lpwstr>3082-12.1.0.26880</vt:lpwstr>
  </property>
  <property fmtid="{D5CDD505-2E9C-101B-9397-08002B2CF9AE}" pid="4" name="ICV">
    <vt:lpwstr>2AA1ECEDCF2046C9AF18151D06CC0EBD_13</vt:lpwstr>
  </property>
</Properties>
</file>