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1C3E" w14:textId="77777777">
      <w:pPr>
        <w:spacing w:before="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Predicción del PROMEDIO_GLOBAL de Saber Pro mediante LightGBM y auditoría de fuga temporal: un estudio a nivel de programa académico en Colombia</w:t>
      </w:r>
    </w:p>
    <w:p w14:paraId="3FF6891B" w14:textId="77777777">
      <w:pPr>
        <w:spacing w:before="0" w:after="0" w:line="8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6DD1C5" w14:textId="77777777">
      <w:pPr>
        <w:spacing w:before="40" w:after="4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Predicting Saber Pro PROMEDIO_GLOBAL with LightGBM and temporal leakage auditing: a program-level study in Colombia</w:t>
      </w:r>
    </w:p>
    <w:p w14:paraId="5FCE8C49" w14:textId="17D81AFA" w:rsidR="00FB33CD" w:rsidRPr="00DA4300" w:rsidRDefault="006632C2" w:rsidP="00247B94">
      <w:pPr>
        <w:spacing w:before="0" w:after="20"/>
        <w:jc w:val="center"/>
        <w:rPr>
          <w:sz w:val="24"/>
        </w:rPr>
      </w:pPr>
      <w:r>
        <w:rPr>
          <w:sz w:val="24"/>
        </w:rPr>
        <w:t>Edwin Santiago Paz Bedoya¹, Nathalia Orozco Morales¹</w:t>
      </w:r>
    </w:p>
    <w:p w14:paraId="2517CB09" w14:textId="6370A54E" w:rsidR="00FB33CD" w:rsidRPr="00DA4300" w:rsidRDefault="00DA4300" w:rsidP="00316941">
      <w:pPr>
        <w:jc w:val="center"/>
        <w:rPr>
          <w:sz w:val="24"/>
        </w:rPr>
        <w:spacing w:before="0" w:after="20"/>
      </w:pPr>
      <w:r>
        <w:rPr>
          <w:sz w:val="24"/>
        </w:rPr>
        <w:t>¹UNIMINUTO Virtual – Bogotá, Colombia</w:t>
      </w:r>
    </w:p>
    <w:p w14:paraId="3920E81F" w14:textId="4F76611B" w:rsidR="00FB33CD" w:rsidRPr="006413B2" w:rsidRDefault="0007482E" w:rsidP="0007482E">
      <w:pPr>
        <w:jc w:val="center"/>
        <w:rPr>
          <w:sz w:val="24"/>
        </w:rPr>
      </w:pPr>
      <w:r>
        <w:rPr>
          <w:sz w:val="24"/>
        </w:rPr>
        <w:t>edwin.paz@uniminuto.edu, nathalia.orozco@uniminuto.edu</w:t>
      </w:r>
    </w:p>
    <w:p w14:paraId="7CD76F4D" w14:textId="77777777">
      <w:pPr>
        <w:spacing w:before="0" w:after="0" w:line="80" w:lineRule="exact"/>
      </w:pPr>
    </w:p>
    <w:p w14:paraId="1C3D879D" w14:textId="77777777">
      <w:pPr>
        <w:spacing w:before="120" w:after="40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:rsidP="36A5FF65" w14:paraId="198D45A3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This paper presents a full predictive pipeline for the Saber Pro PROMEDIO_GLOBAL at the academic program level in Colombia, trained on public ICFES data for 2020–2024 (127,716 post-pivot observations). A temporal leakage catalog of six leakage types (ΔR²≈ 0.22) is documented as the primary methodological contribution. LightGBM achieves R² = 0.706 and RMSE = 9.33, outperforming Ridge, Lasso and a Transformer encoder. SHAP analysis confirms that institutional inertia (lag_1_promedio_global) is the dominant predictor. A deployable inference module with three empirical confidence flags is delivered. Results enable proactive curricular intervention before ICFES official publication.</w:t>
      </w:r>
    </w:p>
    <w:p w14:paraId="44967720" w14:textId="77777777">
      <w:pPr>
        <w:spacing w:before="120" w:after="40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>Resumen</w:t>
      </w:r>
    </w:p>
    <w:p w:rsidP="36A5FF65" w14:paraId="0F2023C5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presente trabajo construye un motor predictivo completo del PROMEDIO_GLOBAL de Saber Pro a nivel de programa académico en Colombia, entrenado sobre datos públicos del ICFES para el período 2020–2024 (127,716 observaciones post-pivot). Se documenta un catálogo de seis tipos de fuga de información (ΔR²≈ 0,22) como contribución metodológica principal. LightGBM alcanza R² = 0,706 y RMSE = 9,33, superando a Ridge, Lasso y un Transformer encoder. El análisis SHAP confirma que la inercia institucional (lag_1_promedio_global) es el predictor dominante. Se entrega un módulo de inferencia deployable con tres flags empíricos de confianza. Los resultados habilitan intervención curricular proactiva antes de la publicación oficial del ICFES.</w:t>
      </w:r>
    </w:p>
    <w:p w:rsidP="473E729D" w14:paraId="58DF9ACE" w14:textId="77777777">
      <w:pPr>
        <w:jc w:val="both"/>
        <w:rPr>
          <w:rStyle w:val="17"/>
          <w:lang w:val="en-US"/>
        </w:rPr>
      </w:pPr>
      <w:r w:rsidRPr="473E729D" w:rsidR="36A5FF65">
        <w:rPr>
          <w:rStyle w:val="17"/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val="en-US" w:eastAsia="en-US" w:bidi="ar-SA"/>
        </w:rPr>
        <w:t>Palabras clave: Saber Pro, predicción del rendimiento académico, LightGBM, fuga de información, SHAP, panel temporal, educación superior colombiana.</w:t>
      </w:r>
    </w:p>
    <w:p w:rsidP="36A5FF65" w14:paraId="58EBE22A" w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1 Introducción</w:t>
      </w:r>
    </w:p>
    <w:p w:rsidP="36A5FF65" w14:paraId="36C5BCC5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examen Saber Pro mide la calidad de los programas de educación superior universitaria en Colombia. El examen evalúa cinco módulos genéricos (Lectura Crítica, Razonamiento Cuantitativo, Competencias Ciudadanas, Comunicación Escrita e Inglés) y módulos específicos según el Núcleo Básico del Conocimiento (NBC) del programa; cada módulo se califica con el modelo de Rasch [23] en una escala de 0 a 300 puntos, y el PROMEDIO_GLOBAL del estudiante es el promedio de esos módulos. El Instituto Colombiano para la Evaluación de la Educación (ICFES) lo administra y publica los resultados agregados por programa en esa misma variable. El Ministerio de Educación Nacional (MEN) usa estos resultados para acreditar programas, asignar recursos de fomento y comparar instituciones entre regiones [1], [15].</w:t>
      </w:r>
    </w:p>
    <w:p w:rsidP="36A5FF65" w14:paraId="0AF2F61E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ICFES entrega los resultados varios meses después de la aplicación del examen. Esta asimetría temporal impide que las instituciones identifiquen con antelación los programas en riesgo de obtener un PROMEDIO_GLOBAL bajo, y obliga a una gestión de calidad esencialmente reactiva.</w:t>
      </w:r>
    </w:p>
    <w:p w:rsidP="36A5FF65" w14:paraId="3F29F589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A la fecha no existe un sistema abierto de predicción que opere sobre los datos públicos del ICFES a nivel de programa universitario. El presente trabajo llena esa brecha y construye un motor completo, desde la ingesta de los archivos crudos del ICFES hasta un módulo de inferencia deployable con cuantificación de incertidumbre. El objetivo es diseñar, entrenar y evaluar un motor predictivo del PROMEDIO_GLOBAL a nivel de programa académico, capaz de anticipar el resultado de la próxima aplicación de Saber Pro a partir de su historial de resultados, y de cuantificar la incertidumbre asociada a cada predicción mediante flags de confianza.</w:t>
      </w:r>
    </w:p>
    <w:p w:rsidP="36A5FF65" w14:paraId="13EB5DF0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Las contribuciones son las siguientes. Se documentan seis tipos de fuga de información en datos de evaluación educativa en panel temporal, con impacto conjunto medido ΔR²≈ 0,22; este catálogo es transferible a otros sistemas de evaluación con cadencia anual. Se diseña una estrategia de pivot long→wide en tres capas para datos ICFES. Se construyen 15 features temporales causalmente válidas para paneles con cobertura desigual. Se evalúan cuatro familias de modelos bajo un split temporal estricto y se explica cuantitativamente por qué el Transformer no resulta competitivo. Se entrega un módulo de inferencia con tres flags empíricos de confianza. El resto del documento se organiza así: la Sección 2 revisa los trabajos relacionados y el marco teórico; la Sección 3 describe los datos y la metodología; la Sección 4 presenta los resultados; la Sección 5 discute los hallazgos; la Sección 6 presenta las conclusiones y trabajo futuro.</w:t>
      </w:r>
    </w:p>
    <w:p w:rsidP="36A5FF65" w14:paraId="769FCCBB" w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2 Marco Teórico y Trabajos Relacionados</w:t>
      </w:r>
    </w:p>
    <w:p w14:paraId="2546286E" w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2.1 El Examen Saber Pro y el Modelo de Rasch</w:t>
      </w:r>
    </w:p>
    <w:p w:rsidP="36A5FF65" w14:paraId="62BD19C6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ICFES administra Saber Pro como instrumento de aseguramiento de calidad de la educación superior colombiana, y el MEN incorpora sus resultados en los lineamientos del SACES [1], [15]. Cada módulo se califica con el modelo de Rasch [23], un modelo psicométrico de la teoría de respuesta al ítem que estima conjuntamente la habilidad del evaluado y la dificultad del ítem sobre una escala común, lo que permite comparar resultados entre aplicaciones con cuadernillos distintos. El PROMEDIO_GLOBAL publicado por programa es un agregado de puntajes Rasch individuales, no un simple conteo de aciertos, lo que explica su comportamiento aproximadamente continuo y respalda su tratamiento como variable de regresión.</w:t>
      </w:r>
    </w:p>
    <w:p w:rsidP="36A5FF65" w14:paraId="262F2CD4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2.2 Minería de Datos Educativa y Trabajos Relacionados</w:t>
      </w:r>
    </w:p>
    <w:p w:rsidP="36A5FF65" w14:paraId="269BF033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La literatura de Educational Data Mining (EDM) predice el rendimiento académico sobre todo a nivel individual [7], [8]. El boosting sobre árboles [2], [3] domina los métodos aplicados. En América Latina, Rangel-Mora y Pérez-Roa [16] revisan sistemáticamente técnicas de minería sobre pruebas Saber en Colombia; Chafla et al. [21] aplican ML con explicabilidad en educación superior ecuatoriana; Acıslı-Celik y Yesilkanat [22] predicen desempeño en PISA 2015–2018. Todos estos trabajos operan a nivel de estudiante individual o de país-año, no a nivel programa-institución, brecha que motiva el presente trabajo.</w:t>
      </w:r>
    </w:p>
    <w:p w:rsidP="36A5FF65" w14:paraId="195C0B63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2.3 Fuga de Información en Paneles Temporales</w:t>
      </w:r>
    </w:p>
    <w:p w:rsidP="36A5FF65" w14:paraId="33F7A8CA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Ninguno de los trabajos anteriores documenta sistemáticamente los riesgos de fuga cuando el target y los features proceden de la misma publicación anual. Kaufman et al. [9] advierten que la fuga es el defecto más común y costoso en minería de datos, pero la literatura EDM rara vez la audita explícitamente en paneles multianuales.</w:t>
      </w:r>
    </w:p>
    <w:p w:rsidP="36A5FF65" w14:paraId="42B62DEB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2.4 Modelos de Aprendizaje Supervisado para Datos Tabulares</w:t>
      </w:r>
    </w:p>
    <w:p w:rsidP="36A5FF65" w14:paraId="1AD38A47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Ridge [24] y Lasso [25] son métodos de regresión regularizada (norma L2 y L1) que controlan el sobreajuste en presencia de variables correlacionadas. LightGBM [3] implementa boosting con particionamiento por hojas y manejo nativo de variables categóricas. El Transformer [5] aplica mecanismos de atención y se ha adaptado a datos tabulares. Grinsztajn et al. [11] muestran que los árboles superan a los MLP en datasets tabulares medianos con features categóricas informativas; Shwartz-Ziv y Armon [12] y Gorishniy et al. [10] confirman el patrón en benchmarks amplios. SHAP [6] es un método de interpretabilidad basado en teoría de juegos cooperativos que descompone cada predicción en contribuciones por feature.</w:t>
      </w:r>
    </w:p>
    <w:p w:rsidP="36A5FF65" w14:paraId="47C00904" w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3 Datos y Metodología</w:t>
      </w:r>
    </w:p>
    <w:p w14:paraId="1F59D851" w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3.1 Fuente de Datos</w:t>
      </w:r>
    </w:p>
    <w:p w:rsidP="36A5FF65" w14:paraId="097F4EA4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Los datos provienen de los reportes agregados Saber Pro que el ICFES publica anualmente para el período 2020–2024 [1], distribuidos como un archivo abierto independiente por cada año de aplicación. El dataset crudo consolidado suma 1.730.805 filas distribuidas en cinco archivos anuales; cada fila corresponde a una combinación de programa académico, prueba específica y tipo de medida estadística, no a un programa individual, lo que produce una estructura long-format. El 97,3 % de nulos en PROMEDIO_GLOBAL refleja esa estructura, donde el target solo aparece en filas de tipo PUNTAJE_GLOBAL.</w:t>
      </w:r>
    </w:p>
    <w:p w:rsidP="36A5FF65" w14:paraId="33553829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3.2 Formato Long y Estrategia de Pivot</w:t>
      </w:r>
    </w:p>
    <w:p w14:paraId="324E4708" w14:textId="77777777">
      <w:pPr>
        <w:jc w:val="both"/>
        <w:rPr>
          <w:rStyle w:val="17"/>
          <w:rFonts w:hint="default"/>
          <w:lang w:val="es-CO"/>
        </w:rPr>
      </w:pPr>
      <w:r>
        <w:rPr>
          <w:rStyle w:val="17"/>
          <w:rFonts w:hint="default"/>
          <w:lang w:val="en"/>
        </w:rPr>
        <w:t>Los archivos ICFES usan la columna MEDIDA_AGREGACION para discriminar el tipo de estadística de cada fila. Se identificaron tres capas utilizables: PUNTAJE_PRUEBA, PUNTAJE_GLOBAL y NIVEL_DESEMPEÑO_PRUEBA. Se unieron las pruebas con el puntaje global mediante inner join por año, institución y programa; los niveles se añadieron mediante left join incluyendo NOMBRE_PRUEBA. El resultado es 127.716 filas wide con el target disponible al 100 %. La Figura 1 ilustra la distribución del PROMEDIO_GLOBAL, las filas por año y las pruebas y NBCs más frecuentes.</w:t>
      </w:r>
    </w:p>
    <w:p w:rsidP="36A5FF65" w14:paraId="309CB083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3.3 Detección y Corrección de Fuga de Información</w:t>
      </w:r>
    </w:p>
    <w:p w:rsidP="473E729D" w14:paraId="17D802DE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Se identificaron seis tipos de fuga (L1–L6) con impacto conjunto ΔR² ≈ 0,22. El baseline Lasso con fugas presentes reportaba R² ≈ 0,88; tras las correcciones, R² = 0,658. Las fugas incluyen: uso de PROMEDIO_GLOBAL del año corriente como feature, fuga a través de proporciones de nivel de desempeño calculadas con el target, y uso de percentiles del mismo ciclo.</w:t>
      </w:r>
    </w:p>
    <w:p w14:paraId="55363496" w14:textId="77777777">
      <w:pPr>
        <w:jc w:val="both"/>
        <w:rPr>
          <w:rStyle w:val="17"/>
          <w:rFonts w:hint="default"/>
          <w:lang w:val="en"/>
        </w:rPr>
      </w:pPr>
    </w:p>
    <w:p w14:paraId="36B57FDB" w14:textId="77777777">
      <w:pPr>
        <w:jc w:val="center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drawing>
          <wp:inline distT="0" distB="0" distL="0" distR="0" wp14:anchorId="43F7AC31" wp14:editId="7777777">
            <wp:extent cx="4370070" cy="3177540"/>
            <wp:effectExtent l="0" t="0" r="3810" b="7620"/>
            <wp:docPr id="12" name="fi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2"/>
                    <pic:cNvPicPr>
                      <a:picLocks noChangeAspect="1" noChangeArrowheads="1"/>
                    </pic:cNvPicPr>
                  </pic:nvPicPr>
                  <pic:blipFill>
                    <a:blip r:embed="rIdConacic7"/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473E729D" w14:paraId="65A65235" w14:textId="77777777">
      <w:pPr>
        <w:jc w:val="center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Figura 1. Dataset Saber Pro post-pivot y limpieza. Superior izquierdo: distribución del PROMEDIO_GLOBAL (media = 148,1). Superior derecho: filas limpias por año (2020–2024). Inferior: top 15 pruebas y NBCs por frecuencia.</w:t>
      </w:r>
    </w:p>
    <w:p w14:paraId="1B57EF9B" w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3.4 Ingeniería de Features</w:t>
      </w:r>
    </w:p>
    <w:p w:rsidP="473E729D" w14:paraId="380B2EC6" w14:textId="77777777">
      <w:pPr>
        <w:jc w:val="both"/>
        <w:rPr>
          <w:rStyle w:val="17"/>
          <w:lang w:val="en-US"/>
        </w:rPr>
      </w:pPr>
      <w:r>
        <w:rPr>
          <w:rStyle w:val="17"/>
          <w:lang w:val="en-US"/>
        </w:rPr>
        <w:t>Se emplearon 15 variables de entrada: rezagos lag_1 y lag_2 de las observaciones anteriores disponibles del PROMEDIO_GLOBAL y de cada prueba, tendencias, volatilidad histórica, logaritmo del número de evaluados, año y variables categóricas. Los tres modelos tabulares usan TargetEncoder; en los artefactos evaluados, su modo automático produjo codificación multiclase (135 valores del objetivo), con 417 columnas transformadas en total. El split externo usa 2020–2023 para entrenamiento (98.954 filas) y 2024 para prueba (28.762 filas).</w:t>
      </w:r>
    </w:p>
    <w:p w:rsidP="473E729D" w14:paraId="7D73621B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3.5 Modelos Evaluados</w:t>
      </w:r>
    </w:p>
    <w:p w:rsidP="36A5FF65" w14:paraId="26F2610A" w14:textId="075DFC4E">
      <w:pPr>
        <w:jc w:val="both"/>
        <w:rPr>
          <w:rStyle w:val="17"/>
          <w:lang w:val="es-ES"/>
        </w:rPr>
      </w:pPr>
      <w:r>
        <w:rPr>
          <w:rStyle w:val="17"/>
          <w:lang w:val="es-ES"/>
        </w:rPr>
        <w:t>Finalmente se evaluaron cuatro familias: (1) Ridge con α automático (RidgeCV); (2) Lasso con α automático (LassoCV); (3) LightGBM con 50 trials de búsqueda Optuna [4] y 188 árboles en el artefacto final (mejor iteración 168 + 20); (4) Transformer encoder con early stopping (época 53/200). Las métricas de evaluación son RMSE, MAE y R². La interpretabilidad del modelo final se obtiene con SHAP [6].</w:t>
      </w:r>
    </w:p>
    <w:p w:rsidP="473E729D" w14:paraId="1004B3FE" w14:textId="77777777">
      <w:pPr>
        <w:jc w:val="both"/>
        <w:rPr>
          <w:rStyle w:val="17"/>
          <w:b w:val="1"/>
          <w:bCs w:val="1"/>
          <w:lang w:val="en-US"/>
        </w:rPr>
      </w:pPr>
      <w:r w:rsidRPr="473E729D" w:rsidR="473E729D">
        <w:rPr>
          <w:rStyle w:val="17"/>
          <w:b w:val="1"/>
          <w:bCs w:val="1"/>
          <w:lang w:val="en-US"/>
        </w:rPr>
        <w:t>4 Resultados</w:t>
      </w:r>
    </w:p>
    <w:p w:rsidP="473E729D" w14:paraId="0EDED08D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4.1 Comparativa Global de Modelos</w:t>
      </w:r>
    </w:p>
    <w:p w:rsidP="473E729D" w14:paraId="06CC2C94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El crecimiento de filas crudas por año, especialmente el salto a 411.946 filas en 2024, se traduce en 127.716 filas wide tras el pivot y el split temporal (n = 28.762), confirmando que la mayor cobertura institucional reciente no introdujo distorsiones sistemáticas en la distribución del target. La Tabla 1 presenta las métricas de desempeño de los cuatro modelos evaluados sobre el conjunto de prueba 2024.</w:t>
      </w:r>
    </w:p>
    <w:tbl>
      <w:tblPr>
        <w:tblStyle w:val="3"/>
        <w:tblpPr w:leftFromText="180" w:rightFromText="180" w:vertAnchor="text" w:horzAnchor="page" w:tblpXSpec="center" w:tblpY="447"/>
        <w:tblOverlap w:val="never"/>
        <w:tblW w:w="883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1350"/>
        <w:gridCol w:w="1350"/>
        <w:gridCol w:w="1300"/>
        <w:gridCol w:w="2388"/>
      </w:tblGrid>
      <w:tr w:rsidTr="473E729D" w14:paraId="7FB0A427" w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  <w:tl2br w:val="nil"/>
            </w:tcBorders>
            <w:shd w:val="clear" w:color="auto" w:fill="FFFFFF" w:themeFill="background1"/>
            <w:tcMar/>
          </w:tcPr>
          <w:p w:rsidP="36A5FF65" w14:paraId="7B14C872" w14:textId="77777777">
            <w:pPr>
              <w:jc w:val="center"/>
              <w:rPr>
                <w:rStyle w:val="17"/>
                <w:b w:val="1"/>
                <w:bCs w:val="1"/>
                <w:color w:val="000000"/>
                <w:lang w:val="en"/>
              </w:rPr>
            </w:pPr>
            <w:r w:rsidRPr="36A5FF65" w:rsidR="36A5FF65">
              <w:rPr>
                <w:rStyle w:val="17"/>
                <w:b w:val="1"/>
                <w:bCs w:val="1"/>
                <w:color w:val="000000" w:themeColor="text1" w:themeTint="FF" w:themeShade="FF"/>
                <w:lang w:val="en"/>
              </w:rPr>
              <w:t>Modelo</w:t>
            </w:r>
          </w:p>
        </w:tc>
        <w:tc>
          <w:tcPr>
            <w:tcW w:w="135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36A5FF65" w14:paraId="015F0D81" w14:textId="77777777">
            <w:pPr>
              <w:jc w:val="center"/>
              <w:rPr>
                <w:rStyle w:val="17"/>
                <w:b w:val="1"/>
                <w:bCs w:val="1"/>
                <w:color w:val="000000"/>
                <w:lang w:val="en"/>
              </w:rPr>
            </w:pPr>
            <w:r w:rsidRPr="36A5FF65" w:rsidR="36A5FF65">
              <w:rPr>
                <w:rStyle w:val="17"/>
                <w:b w:val="1"/>
                <w:bCs w:val="1"/>
                <w:color w:val="000000" w:themeColor="text1" w:themeTint="FF" w:themeShade="FF"/>
                <w:lang w:val="en"/>
              </w:rPr>
              <w:t>RMSE</w:t>
            </w:r>
          </w:p>
        </w:tc>
        <w:tc>
          <w:tcPr>
            <w:tcW w:w="135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36A5FF65" w14:paraId="7036B0F7" w14:textId="77777777">
            <w:pPr>
              <w:jc w:val="center"/>
              <w:rPr>
                <w:rStyle w:val="17"/>
                <w:b w:val="1"/>
                <w:bCs w:val="1"/>
                <w:color w:val="000000"/>
                <w:lang w:val="en"/>
              </w:rPr>
            </w:pPr>
            <w:r w:rsidRPr="36A5FF65" w:rsidR="36A5FF65">
              <w:rPr>
                <w:rStyle w:val="17"/>
                <w:b w:val="1"/>
                <w:bCs w:val="1"/>
                <w:color w:val="000000" w:themeColor="text1" w:themeTint="FF" w:themeShade="FF"/>
                <w:lang w:val="en"/>
              </w:rPr>
              <w:t>MAE</w:t>
            </w:r>
          </w:p>
        </w:tc>
        <w:tc>
          <w:tcPr>
            <w:tcW w:w="130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36A5FF65" w14:paraId="52A67C83" w14:textId="77777777">
            <w:pPr>
              <w:jc w:val="center"/>
              <w:rPr>
                <w:rStyle w:val="17"/>
                <w:b w:val="1"/>
                <w:bCs w:val="1"/>
                <w:color w:val="000000"/>
                <w:lang w:val="en"/>
              </w:rPr>
            </w:pPr>
            <w:r w:rsidRPr="36A5FF65" w:rsidR="36A5FF65">
              <w:rPr>
                <w:rStyle w:val="17"/>
                <w:b w:val="1"/>
                <w:bCs w:val="1"/>
                <w:color w:val="000000" w:themeColor="text1" w:themeTint="FF" w:themeShade="FF"/>
                <w:lang w:val="en"/>
              </w:rPr>
              <w:t>R²</w:t>
            </w:r>
          </w:p>
        </w:tc>
        <w:tc>
          <w:tcPr>
            <w:tcW w:w="2388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36A5FF65" w14:paraId="0BA41541" w14:textId="77777777">
            <w:pPr>
              <w:jc w:val="center"/>
              <w:rPr>
                <w:rStyle w:val="17"/>
                <w:b w:val="1"/>
                <w:bCs w:val="1"/>
                <w:color w:val="000000"/>
                <w:lang w:val="en"/>
              </w:rPr>
            </w:pPr>
            <w:r w:rsidRPr="36A5FF65" w:rsidR="36A5FF65">
              <w:rPr>
                <w:rStyle w:val="17"/>
                <w:b w:val="1"/>
                <w:bCs w:val="1"/>
                <w:color w:val="000000" w:themeColor="text1" w:themeTint="FF" w:themeShade="FF"/>
                <w:lang w:val="en"/>
              </w:rPr>
              <w:t>Config.</w:t>
            </w:r>
          </w:p>
        </w:tc>
      </w:tr>
      <w:tr w:rsidTr="473E729D" w14:paraId="3C68B64B" w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245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32697250" w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Ridge (ref.)</w:t>
            </w:r>
          </w:p>
        </w:tc>
        <w:tc>
          <w:tcPr>
            <w:tcW w:w="135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1BCDAB32" w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10,2294</w:t>
            </w:r>
          </w:p>
        </w:tc>
        <w:tc>
          <w:tcPr>
            <w:tcW w:w="135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6158F8EE" w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7,2967</w:t>
            </w:r>
          </w:p>
        </w:tc>
        <w:tc>
          <w:tcPr>
            <w:tcW w:w="130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349031E5" w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0,6467</w:t>
            </w:r>
          </w:p>
        </w:tc>
        <w:tc>
          <w:tcPr>
            <w:tcW w:w="2388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473E729D" w14:paraId="47CED0BC" w14:textId="77777777">
            <w:pPr>
              <w:jc w:val="center"/>
              <w:rPr>
                <w:rStyle w:val="17"/>
                <w:b w:val="0"/>
                <w:bCs w:val="0"/>
                <w:color w:val="000000"/>
                <w:lang w:val="en-US"/>
              </w:rPr>
            </w:pPr>
            <w:r w:rsidRPr="473E729D" w:rsidR="473E729D">
              <w:rPr>
                <w:rStyle w:val="17"/>
                <w:b w:val="0"/>
                <w:bCs w:val="0"/>
                <w:color w:val="000000" w:themeColor="text1" w:themeTint="FF" w:themeShade="FF"/>
                <w:lang w:val="en-US"/>
              </w:rPr>
              <w:t>RidgeCV</w:t>
            </w:r>
          </w:p>
        </w:tc>
      </w:tr>
      <w:tr w:rsidTr="473E729D" w14:paraId="1B0151C7" w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460B409D" w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Lasso (ref.)</w:t>
            </w:r>
          </w:p>
        </w:tc>
        <w:tc>
          <w:tcPr>
            <w:tcW w:w="135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45F3C5DE" w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10,0722</w:t>
            </w:r>
          </w:p>
        </w:tc>
        <w:tc>
          <w:tcPr>
            <w:tcW w:w="135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26B1785C" w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7,0622</w:t>
            </w:r>
          </w:p>
        </w:tc>
        <w:tc>
          <w:tcPr>
            <w:tcW w:w="130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7F9C63A1" w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0,6575</w:t>
            </w:r>
          </w:p>
        </w:tc>
        <w:tc>
          <w:tcPr>
            <w:tcW w:w="2388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473E729D" w14:paraId="1E6F5ADD" w14:textId="77777777">
            <w:pPr>
              <w:jc w:val="center"/>
              <w:rPr>
                <w:rStyle w:val="17"/>
                <w:b w:val="0"/>
                <w:bCs w:val="0"/>
                <w:color w:val="000000"/>
                <w:lang w:val="en-US"/>
              </w:rPr>
            </w:pPr>
            <w:r w:rsidRPr="473E729D" w:rsidR="473E729D">
              <w:rPr>
                <w:rStyle w:val="17"/>
                <w:b w:val="0"/>
                <w:bCs w:val="0"/>
                <w:color w:val="000000" w:themeColor="text1" w:themeTint="FF" w:themeShade="FF"/>
                <w:lang w:val="en-US"/>
              </w:rPr>
              <w:t>LassoCV</w:t>
            </w:r>
          </w:p>
        </w:tc>
      </w:tr>
      <w:tr w:rsidTr="473E729D" w14:paraId="5F2AD21F" w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473E729D" w14:paraId="3A0FCD22" w14:textId="77777777">
            <w:pPr>
              <w:jc w:val="center"/>
              <w:rPr>
                <w:rStyle w:val="17"/>
                <w:b w:val="0"/>
                <w:bCs w:val="0"/>
                <w:color w:val="000000"/>
                <w:lang w:val="en-US"/>
              </w:rPr>
            </w:pPr>
            <w:r w:rsidRPr="473E729D" w:rsidR="473E729D">
              <w:rPr>
                <w:rStyle w:val="17"/>
                <w:b w:val="0"/>
                <w:bCs w:val="0"/>
                <w:color w:val="000000" w:themeColor="text1" w:themeTint="FF" w:themeShade="FF"/>
                <w:lang w:val="en-US"/>
              </w:rPr>
              <w:t>LightGBM (prop.)</w:t>
            </w:r>
          </w:p>
        </w:tc>
        <w:tc>
          <w:tcPr>
            <w:tcW w:w="135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519D8DCE" w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9,3293</w:t>
            </w:r>
          </w:p>
        </w:tc>
        <w:tc>
          <w:tcPr>
            <w:tcW w:w="135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05368D52" w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6,2109</w:t>
            </w:r>
          </w:p>
        </w:tc>
        <w:tc>
          <w:tcPr>
            <w:tcW w:w="130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413FD9DD" w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0,7062</w:t>
            </w:r>
          </w:p>
        </w:tc>
        <w:tc>
          <w:tcPr>
            <w:tcW w:w="2388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:rsidP="473E729D" w14:paraId="39BB4AD6" w14:textId="77777777">
            <w:pPr>
              <w:jc w:val="center"/>
              <w:rPr>
                <w:rStyle w:val="17"/>
                <w:b w:val="0"/>
                <w:bCs w:val="0"/>
                <w:color w:val="000000"/>
                <w:lang w:val="en-US"/>
              </w:rPr>
            </w:pPr>
            <w:r w:rsidRPr="473E729D" w:rsidR="473E729D">
              <w:rPr>
                <w:rStyle w:val="17"/>
                <w:b w:val="0"/>
                <w:bCs w:val="0"/>
                <w:color w:val="000000" w:themeColor="text1" w:themeTint="FF" w:themeShade="FF"/>
                <w:lang w:val="en-US"/>
              </w:rPr>
              <w:t>Optuna 50t</w:t>
            </w:r>
          </w:p>
        </w:tc>
      </w:tr>
      <w:tr w:rsidTr="473E729D" w14:paraId="7E0A820F" w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54A06DA5" w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Transformer enc.</w:t>
            </w:r>
          </w:p>
        </w:tc>
        <w:tc>
          <w:tcPr>
            <w:tcW w:w="135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160AD576" w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16,8588</w:t>
            </w:r>
          </w:p>
        </w:tc>
        <w:tc>
          <w:tcPr>
            <w:tcW w:w="135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7EDDDE31" w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n/d</w:t>
            </w:r>
          </w:p>
        </w:tc>
        <w:tc>
          <w:tcPr>
            <w:tcW w:w="1300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35D0784F" w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0,0405</w:t>
            </w:r>
          </w:p>
        </w:tc>
        <w:tc>
          <w:tcPr>
            <w:tcW w:w="2388" w:type="dxa"/>
            <w:tcBorders>
              <w:top w:val="single" w:color="000000" w:themeColor="text1" w:sz="4"/>
              <w:left w:val="nil" w:color="000000" w:themeColor="text1" w:sz="4"/>
              <w:bottom w:val="single" w:color="000000" w:themeColor="text1" w:sz="4"/>
              <w:right w:val="nil" w:color="000000" w:themeColor="text1" w:sz="4"/>
            </w:tcBorders>
            <w:shd w:val="clear" w:color="auto" w:fill="FFFFFF" w:themeFill="background1"/>
            <w:tcMar/>
          </w:tcPr>
          <w:p w14:paraId="605C294A" w14:textId="77777777">
            <w:pPr>
              <w:jc w:val="center"/>
              <w:rPr>
                <w:rStyle w:val="17"/>
                <w:rFonts w:hint="default"/>
                <w:b w:val="0"/>
                <w:color w:val="000000"/>
                <w:lang w:val="en"/>
              </w:rPr>
            </w:pPr>
            <w:r>
              <w:rPr>
                <w:rStyle w:val="17"/>
                <w:rFonts w:hint="default"/>
                <w:b w:val="0"/>
                <w:color w:val="000000"/>
                <w:lang w:val="en"/>
              </w:rPr>
              <w:t>early stop ép.53</w:t>
            </w:r>
          </w:p>
        </w:tc>
      </w:tr>
    </w:tbl>
    <w:p w:rsidP="473E729D" w14:paraId="2A131E0A" w14:textId="77777777">
      <w:pPr>
        <w:jc w:val="center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Tabla 1. Comparativa de métricas en el conju</w:t>
      </w:r>
      <w:bookmarkStart w:name="_GoBack" w:id="0"/>
      <w:bookmarkEnd w:id="0"/>
      <w:r w:rsidRPr="473E729D" w:rsidR="473E729D">
        <w:rPr>
          <w:rStyle w:val="17"/>
          <w:lang w:val="en-US"/>
        </w:rPr>
        <w:t>nto de prueba 2024 (n = 28.762)</w:t>
      </w:r>
    </w:p>
    <w:p w14:paraId="79C5E905" w14:textId="77777777">
      <w:pPr>
        <w:jc w:val="both"/>
        <w:rPr>
          <w:rStyle w:val="17"/>
          <w:rFonts w:hint="default"/>
          <w:lang w:val="es-CO"/>
        </w:rPr>
      </w:pPr>
      <w:r>
        <w:rPr>
          <w:rStyle w:val="17"/>
          <w:rFonts w:hint="default"/>
          <w:lang w:val="en"/>
        </w:rPr>
        <w:t>LightGBM supera a Lasso en ΔRMSE = −0,74 puntos (−7,4 %) y ΔR² = +0,049, alcanzando el umbral objetivo R² &gt; 0,70. Esta mejora se reporta sobre un único split temporal; un intervalo de confianza formal requiere múltiples splits walk-forward (trabajo futuro TF6). Para verificar que el modelo no incurre en sobreajuste, la Figura 2 muestra la evolución del RMSE de entrenamiento y validación a lo largo de las 225 iteraciones de boosting. Ambas curvas convergen en la iteración 168 con una brecha pequeña y estable, lo que confirma una regularización adecuada.</w:t>
      </w:r>
      <w:r>
        <w:rPr>
          <w:rStyle w:val="17"/>
          <w:rFonts w:hint="default"/>
          <w:lang w:val="es-CO"/>
        </w:rPr>
        <w:t xml:space="preserve"> </w:t>
      </w:r>
    </w:p>
    <w:p w14:paraId="318C371E" w14:textId="77777777">
      <w:pPr>
        <w:jc w:val="center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drawing>
          <wp:inline distT="0" distB="0" distL="0" distR="0" wp14:anchorId="58E56B81" wp14:editId="7777777">
            <wp:extent cx="3950335" cy="1946910"/>
            <wp:effectExtent l="0" t="0" r="12065" b="3810"/>
            <wp:docPr id="17" name="fig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7"/>
                    <pic:cNvPicPr>
                      <a:picLocks noChangeAspect="1" noChangeArrowheads="1"/>
                    </pic:cNvPicPr>
                  </pic:nvPicPr>
                  <pic:blipFill>
                    <a:blip r:embed="rIdConacic6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473E729D" w14:paraId="462976D7" w14:textId="77777777">
      <w:pPr>
        <w:jc w:val="center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Figura 2. LightGBM — Curva de aprendizaje (RMSE de entrenamiento y validación por iteración). La línea vertical marca la mejor iteración (168). La brecha pequeña y estable confirma regularización adecuada.</w:t>
      </w:r>
    </w:p>
    <w:p w:rsidP="473E729D" w14:paraId="5824AF68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El diagrama de dispersión entre los valores predichos y reales del PROMEDIO_GLOBAL (Figura 3) confirma el desempeño de LightGBM sobre el conjunto de prueba 2024 (n = 28.762): los puntos se agrupan densamente sobre la diagonal de predicción perfecta (R² = 0,706), con los errores más grandes concentrados en los extremos de la distribución, donde los programas presentan cohortes pequeñas o trayectorias históricas poco estables.</w:t>
      </w:r>
    </w:p>
    <w:p w14:paraId="0EECC438" w14:textId="77777777">
      <w:pPr>
        <w:jc w:val="both"/>
        <w:rPr>
          <w:rStyle w:val="17"/>
          <w:rFonts w:hint="default"/>
          <w:lang w:val="en"/>
        </w:rPr>
      </w:pPr>
    </w:p>
    <w:p w14:paraId="71BCC876" w14:textId="77777777">
      <w:pPr>
        <w:jc w:val="center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drawing>
          <wp:inline distT="0" distB="0" distL="0" distR="0" wp14:anchorId="669032D8" wp14:editId="7777777">
            <wp:extent cx="2673350" cy="2665095"/>
            <wp:effectExtent l="0" t="0" r="8890" b="1905"/>
            <wp:docPr id="15" name="fi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5"/>
                    <pic:cNvPicPr>
                      <a:picLocks noChangeAspect="1" noChangeArrowheads="1"/>
                    </pic:cNvPicPr>
                  </pic:nvPicPr>
                  <pic:blipFill>
                    <a:blip r:embed="rIdConacic5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473E729D" w14:paraId="24C3135A" w14:textId="77777777">
      <w:pPr>
        <w:jc w:val="center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Figura 3. LightGBM — Predicho vs. Real en el conjunto de prueba 2024 (n = 28.762). RMSE = 9,33; MAE = 6,21; R² = 0,706. Los errores más grandes se concentran en los extremos de la distribución.</w:t>
      </w:r>
    </w:p>
    <w:p w:rsidP="473E729D" w14:paraId="171E29FF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4.2 Importancia de Features — SHAP</w:t>
      </w:r>
    </w:p>
    <w:p w14:paraId="27218B7C" w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El análisis SHAP (Fig</w:t>
      </w:r>
      <w:r>
        <w:rPr>
          <w:rStyle w:val="17"/>
          <w:rFonts w:hint="default"/>
          <w:lang w:val="es-CO"/>
        </w:rPr>
        <w:t>ura</w:t>
      </w:r>
      <w:r>
        <w:rPr>
          <w:rStyle w:val="17"/>
          <w:rFonts w:hint="default"/>
          <w:lang w:val="en"/>
        </w:rPr>
        <w:t> </w:t>
      </w:r>
      <w:r>
        <w:rPr>
          <w:rStyle w:val="17"/>
          <w:rFonts w:hint="default"/>
          <w:lang w:val="es-CO"/>
        </w:rPr>
        <w:t>4</w:t>
      </w:r>
      <w:r>
        <w:rPr>
          <w:rStyle w:val="17"/>
          <w:rFonts w:hint="default"/>
          <w:lang w:val="en"/>
        </w:rPr>
        <w:t>) revela que lag_1_promedio_global es el predictor dominante, con valores SHAP de hasta +28 puntos. Le siguen lag_2_promedio_global, lag_1_promedio_prueba y log_cantidadevaluados. Los indicadores NBC aparecen como efectos de intercepto por área disciplinar. La variable log_cantidadevaluados muestra que programas con cohortes pequeñas tienen SHAP negativo, reflejando mayor volatilidad en el promedio histórico.</w:t>
      </w:r>
    </w:p>
    <w:p xmlns:a="http://schemas.openxmlformats.org/drawingml/2006/main" w14:paraId="13336A73" w14:textId="77777777">
      <w:pPr>
        <w:spacing w:before="40" w:after="40"/>
        <w:jc w:val="center"/>
      </w:pPr>
      <w:r w:rsidR="36A5FF65">
        <w:drawing>
          <wp:inline wp14:editId="14A92016" wp14:anchorId="652D698E">
            <wp:extent cx="2942646" cy="2769583"/>
            <wp:effectExtent l="0" t="0" r="0" b="0"/>
            <wp:docPr id="16" name="fig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6" name="fig6"/>
                    <pic:cNvPicPr>
                      <a:picLocks noChangeAspect="1" noChangeArrowheads="1"/>
                    </pic:cNvPicPr>
                  </pic:nvPicPr>
                  <pic:blipFill>
                    <a:blip r:embed="rIdConacic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2646" cy="27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36A5FF65" w14:paraId="5CF589A3" w14:textId="77777777">
      <w:pPr>
        <w:spacing w:before="0" w:after="60"/>
        <w:jc w:val="center"/>
        <w:rPr>
          <w:rFonts w:ascii="Calibri" w:hAnsi="Calibri" w:cs="Calibri"/>
          <w:i w:val="0"/>
          <w:iCs w:val="0"/>
        </w:rPr>
      </w:pPr>
      <w:r w:rsidRPr="36A5FF65" w:rsidR="36A5FF65">
        <w:rPr>
          <w:rFonts w:ascii="Calibri" w:hAnsi="Calibri" w:cs="Calibri"/>
          <w:i w:val="0"/>
          <w:iCs w:val="0"/>
          <w:sz w:val="20"/>
          <w:szCs w:val="20"/>
        </w:rPr>
        <w:t>Figura 4. LightGBM — SHAP Beeswarm (test 2024). lag_1_promedio_global domina con valores SHAP de hasta +28 puntos. El color codifica el valor del feature (rojo = alto, azul = bajo). Los rezagos temporales del PROMEDIO_GLOBAL dominan ampliamente sobre el resto de predictores.</w:t>
      </w:r>
    </w:p>
    <w:p w:rsidR="36A5FF65" w:rsidP="36A5FF65" w:rsidRDefault="36A5FF65" w14:paraId="4BC09B8D" w14:textId="6A169E2D">
      <w:pPr>
        <w:spacing w:before="0" w:after="60"/>
        <w:jc w:val="center"/>
        <w:rPr>
          <w:rFonts w:ascii="Calibri" w:hAnsi="Calibri" w:cs="Calibri"/>
          <w:i w:val="0"/>
          <w:iCs w:val="0"/>
          <w:sz w:val="20"/>
          <w:szCs w:val="20"/>
        </w:rPr>
      </w:pPr>
    </w:p>
    <w:p w:rsidP="473E729D" w14:paraId="036D5FC3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4.3 Análisis de Errores por Área y Región</w:t>
      </w:r>
    </w:p>
    <w:p w14:paraId="0C7C50F1" w14:textId="77777777">
      <w:pPr>
        <w:jc w:val="both"/>
        <w:rPr>
          <w:rStyle w:val="17"/>
          <w:rFonts w:hint="default"/>
          <w:lang w:val="en"/>
        </w:rPr>
      </w:pPr>
      <w:r>
        <w:t>La Figura 5 desagrega el RMSE de LightGBM por Núcleo Básico del Conocimiento (top 25), revelando diferencias sustanciales entre áreas disciplinares. Algunas áreas de Salud presentan errores bajos (RMSE entre 4,1 y 6,2 puntos), mientras que Educación (RMSE = 11,71) y Sin Clasificar (RMSE = 17,76) concentran los más altos, explicados por la alta heterogeneidad interna de esas categorías. El análisis geográfico complementario muestra que Sucre (≈ 13), Chocó (≈ 12) y Putumayo (≈ 11) presentan los mayores errores, coincidiendo con regiones de menor desarrollo económico relativo.</w:t>
      </w:r>
    </w:p>
    <w:p w14:paraId="391579E6" w14:textId="77777777">
      <w:pPr>
        <w:spacing w:before="40" w:after="40"/>
        <w:jc w:val="center"/>
      </w:pPr>
      <w:r>
        <w:drawing>
          <wp:inline distT="0" distB="0" distL="0" distR="0" wp14:anchorId="58AC6F7F" wp14:editId="7777777">
            <wp:extent cx="3199130" cy="2785745"/>
            <wp:effectExtent l="0" t="0" r="1270" b="3175"/>
            <wp:docPr id="18" name="fi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8"/>
                    <pic:cNvPicPr>
                      <a:picLocks noChangeAspect="1" noChangeArrowheads="1"/>
                    </pic:cNvPicPr>
                  </pic:nvPicPr>
                  <pic:blipFill>
                    <a:blip r:embed="rIdConacic3"/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36A5FF65" w14:paraId="50535A84" w14:textId="77777777">
      <w:pPr>
        <w:jc w:val="center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Figura 5. LightGBM — RMSE por Núcleo Básico del Conocimiento (top 25). Sin Clasificar y Artes Representativas concentran los errores más altos por alta heterogeneidad interna.</w:t>
      </w:r>
    </w:p>
    <w:p w:rsidP="36A5FF65" w14:paraId="736859AC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4.4 Módulo de Inferencia y Confianza</w:t>
      </w:r>
    </w:p>
    <w:p w:rsidP="36A5FF65" w14:paraId="230B8FA4" w14:textId="77777777">
      <w:pPr>
        <w:jc w:val="both"/>
        <w:rPr>
          <w:rStyle w:val="17"/>
          <w:lang w:val="en-US"/>
        </w:rPr>
      </w:pPr>
      <w:r>
        <w:t>Las predicciones de confianza MEDIA (84,4 %) obtienen RMSE aprox. 9,1 frente a RMSE aprox. 11,4 de confianza BAJA (15,6 %). El diferencial de 2,3 puntos confirma que los tres flags empíricos son informativos y permiten priorizar alertas institucionales según nivel de certeza. Para contrastar con LightGBM, el Transformer encoder exhibe una brecha considerable entre validación (aprox. 10,4 puntos RMSE) y test (16,86), lo que evidencia sobreajuste y generalización deficiente al conjunto de prueba 2024.</w:t>
      </w:r>
    </w:p>
    <w:p w:rsidP="36A5FF65" w14:paraId="1A79D3BD" w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5 Discusión</w:t>
      </w:r>
    </w:p>
    <w:p w:rsidP="36A5FF65" w14:paraId="218C96EE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5.1 Inercia Institucional como Predictor Dominante</w:t>
      </w:r>
    </w:p>
    <w:p w:rsidP="36A5FF65" w14:paraId="4C04A589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patrón SHAP es consistente con la inercia institucional documentada en EDM: Romero y Ventura [7] identifican que el desempeño académico pasado es el predictor más robusto del desempeño futuro, y Behr et al. [8] confirman este hallazgo en predicción de abandono universitario. Los programas tienden a mantener su nivel relativo de desempeño entre ciclos, lo que justifica que el historial de PROMEDIO_GLOBAL sea suficiente para alcanzar R² = 0,706 sin variables de proceso internas.</w:t>
      </w:r>
    </w:p>
    <w:p w:rsidP="36A5FF65" w14:paraId="147C5923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5.2 Por Qué LightGBM Supera al Transformer</w:t>
      </w:r>
    </w:p>
    <w:p w:rsidP="36A5FF65" w14:paraId="20946329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La brecha (R² = 0,706 vs. 0,041) confirma cuatro factores estructurales: asimetría de muestras efectivas (ratio 3,05×), ausencia de features categóricas aprendibles en el Transformer, brecha val/test de 6,4 puntos por sobreajuste, y 51,7 % de secuencias con padding. Estas condiciones replican el régimen descrito por Grinsztajn et al. [11] y Shwartz-Ziv y Armon [12].</w:t>
      </w:r>
    </w:p>
    <w:p w:rsidP="36A5FF65" w14:paraId="262B8434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5.3 Contribución Metodológica: Catálogo de Fugas</w:t>
      </w:r>
    </w:p>
    <w:p w:rsidP="36A5FF65" w14:paraId="4F17FA62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La documentación de seis tipos de fuga con ΔR² ≈ 0,22 llena un vacío metodológico identificado por Kaufman et al. [9]. La revisión de Rangel-Mora y Pérez-Roa [16], Chafla et al. [21] y Acıslı-Celik y Yesilkanat [22] confirma que ningún trabajo previo audita sistemáticamente fugas en paneles con publicación anual. El catálogo es transferible a PISA y otros exámenes de estado latinoamericanos.</w:t>
      </w:r>
    </w:p>
    <w:p w:rsidP="36A5FF65" w14:paraId="1A55D15D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5.4 Implicaciones para Política Educativa</w:t>
      </w:r>
    </w:p>
    <w:p w:rsidP="36A5FF65" w14:paraId="38D6AFF7" w14:textId="77777777">
      <w:pPr>
        <w:jc w:val="both"/>
        <w:rPr>
          <w:rStyle w:val="17"/>
          <w:lang w:val="en-US"/>
        </w:rPr>
      </w:pPr>
      <w:r>
        <w:rPr>
          <w:rStyle w:val="17"/>
          <w:lang w:val="en-US"/>
        </w:rPr>
        <w:t>El SACES colombiano incorpora Saber Pro como insumo central para registro calificado y acreditación [15]. Un sistema que anticipe el PROMEDIO_GLOBAL un año antes transforma la gestión de calidad de reactiva a proactiva. Esta lógica es análoga a la propuesta por López-García et al. [26] para detección de fracaso estudiantil en la Universidad Industrial de Santander, aunque el presente trabajo opera a nivel programa-institución, complementándola. Los NBC con SHAP negativo y los departamentos con mayor RMSE señalan prioridades concretas de intervención y de recolección de datos socioeconómicos externos.</w:t>
      </w:r>
    </w:p>
    <w:p w:rsidP="36A5FF65" w14:paraId="19F1C50D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5.5 Limitaciones</w:t>
      </w:r>
    </w:p>
    <w:p w:rsidP="36A5FF65" w14:paraId="3B07E351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L1: el período 2020–2024 incluye años atípicos de pandemia. L2: granularidad agregada a nivel programa-institución, sin datos individuales [7], [8]. L3: no se incluyen variables socioeconómicas externas [26]. L4: el catálogo de pruebas cambia entre años. L5: validación de un único horizonte (t→t+1). L6: sin intervalos de confianza formales por ausencia de walk-forward [9]. L7: la categoría Sin Clasificar requiere reclasificador previo.</w:t>
      </w:r>
    </w:p>
    <w:p w:rsidP="36A5FF65" w14:paraId="365621AA" w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6 Conclusiones y Trabajo Futuro</w:t>
      </w:r>
    </w:p>
    <w:p w:rsidP="36A5FF65" w14:paraId="175CC529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6.1 Conclusiones</w:t>
      </w:r>
    </w:p>
    <w:p w:rsidP="36A5FF65" w14:paraId="449F7277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El presente trabajo demuestra que es posible predecir el PROMEDIO_GLOBAL de Saber Pro a nivel de programa académico con un año de anticipación, alcanzando R² = 0,706 y RMSE = 9,33 puntos sobre el conjunto de prueba 2024, a partir exclusivamente de datos públicos del ICFES. Este resultado valida que la inercia institucional capturada por los rezagos temporales contiene suficiente señal para habilitar una gestión curricular proactiva.</w:t>
      </w:r>
    </w:p>
    <w:p w:rsidP="36A5FF65" w14:paraId="3EF9DA27" w14:textId="77777777">
      <w:pPr>
        <w:jc w:val="both"/>
        <w:rPr>
          <w:rStyle w:val="17"/>
          <w:lang w:val="en-US"/>
        </w:rPr>
      </w:pPr>
      <w:r>
        <w:t>La contribución metodológica más relevante es la documentación sistemática de seis tipos de fuga de información con impacto conjunto ΔR² ≈ 0,22, inédita en la literatura EDM para datos de exámenes de estado con estructura long-format y publicación anual. La comparación entre modelos confirma que LightGBM supera a los baselines lineales en 7,4 % de RMSE, y que el Transformer no resulta competitivo por cuatro factores estructurales consistentes con la evidencia de [11] y [12]. El módulo de inferencia entrega flags de confianza informativos con un diferencial de 2,3 puntos de RMSE entre categorías. Para reproducibilidad, el repositorio documenta la ejecución desde los CSVs procesados y los artefactos regenerables.</w:t>
      </w:r>
    </w:p>
    <w:p w:rsidP="36A5FF65" w14:paraId="76EBF767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6.2 Trabajo Futuro</w:t>
      </w:r>
    </w:p>
    <w:p w:rsidP="36A5FF65" w14:paraId="5F7BC117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Seis líneas de extensión se identifican como prioritarias. TF1: incorporar variables socioeconómicas externas (Sisbén, IDH municipal, gasto por estudiante) para reducir el error en departamentos como Sucre, Chocó y Putumayo. TF2: extender a predicción multi-horizonte (t+1 y t+2) para ampliar la ventana de intervención curricular. TF3: dotar al Transformer de embeddings aprendibles para NBC y NOMBRE_PRUEBA y repetir el experimento bajo las mismas condiciones. TF4: habilitar fine-tuning anual incremental sin reentrenamiento completo. TF5: realizar análisis formal de equidad por región y modalidad antes de cualquier despliegue institucional. TF6: ejecutar validación walk-forward multi-split para reportar intervalos de confianza formales sobre las diferencias entre modelos.</w:t>
      </w:r>
    </w:p>
    <w:p w:rsidP="36A5FF65" w14:paraId="1E120EB9" w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Agradecimientos</w:t>
      </w:r>
    </w:p>
    <w:p w:rsidP="36A5FF65" w14:paraId="6C94BA71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Los autores agradecen al ICFES por la publicación abierta de los microdatos agregados de Saber Pro 2020–2024.</w:t>
      </w:r>
    </w:p>
    <w:p w:rsidP="36A5FF65" w14:paraId="4EB08F2C" w14:textId="77777777">
      <w:pPr>
        <w:jc w:val="both"/>
        <w:rPr>
          <w:rStyle w:val="17"/>
          <w:b w:val="1"/>
          <w:bCs w:val="1"/>
          <w:lang w:val="en-US"/>
        </w:rPr>
      </w:pPr>
      <w:r w:rsidRPr="36A5FF65" w:rsidR="36A5FF65">
        <w:rPr>
          <w:rStyle w:val="17"/>
          <w:b w:val="1"/>
          <w:bCs w:val="1"/>
          <w:lang w:val="en-US"/>
        </w:rPr>
        <w:t>Referencias</w:t>
      </w:r>
    </w:p>
    <w:p w:rsidP="36A5FF65" w14:paraId="47DFC23C" w14:textId="77777777">
      <w:pPr>
        <w:jc w:val="both"/>
        <w:rPr>
          <w:rStyle w:val="17"/>
          <w:lang w:val="en-US"/>
        </w:rPr>
      </w:pPr>
      <w:r w:rsidRPr="36A5FF65" w:rsidR="36A5FF65">
        <w:rPr>
          <w:rStyle w:val="17"/>
          <w:lang w:val="en-US"/>
        </w:rPr>
        <w:t>[1] ICFES, “Resultados Saber Pro 2020–2024,” Instituto Colombiano para la Evaluación de la Educación, Bogotá, Colombia, 2024.</w:t>
      </w:r>
    </w:p>
    <w:p w:rsidP="473E729D" w14:paraId="188110D0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[2] T. Chen y C. Guestrin, “XGBoost: A scalable tree boosting system,” en Proc. 22nd ACM SIGKDD, 2016, pp. 785–794.</w:t>
      </w:r>
    </w:p>
    <w:p w:rsidP="473E729D" w14:paraId="6E259169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[3] G. Ke et al., “LightGBM: A highly efficient gradient boosting decision tree,” en Adv. Neural Inf. Process. Syst., vol. 30, 2017.</w:t>
      </w:r>
    </w:p>
    <w:p w:rsidP="473E729D" w14:paraId="7B98E3B0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[4] T. Akiba et al., “Optuna: A next-generation hyperparameter optimization framework,” en Proc. 25th ACM SIGKDD, 2019.</w:t>
      </w:r>
    </w:p>
    <w:p w:rsidP="473E729D" w14:paraId="2DA0D6EC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[5] A. Vaswani et al., “Attention is all you need,” en Adv. Neural Inf. Process. Syst., vol. 30, 2017.</w:t>
      </w:r>
    </w:p>
    <w:p w:rsidP="473E729D" w14:paraId="015817F2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[6] S. M. Lundberg y S.-I. Lee, “A unified approach to interpreting model predictions,” en Adv. Neural Inf. Process. Syst., vol. 30, 2017.</w:t>
      </w:r>
    </w:p>
    <w:p w:rsidP="473E729D" w14:paraId="1DE9E02B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[7] C. Romero y S. Ventura, “Educational data mining: A review of the state of the art,” IEEE Trans. Syst., Man, Cybern. C, vol. 40, n.º 6, pp. 601–618, 2010.</w:t>
      </w:r>
    </w:p>
    <w:p w:rsidP="473E729D" w14:paraId="03AA1039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[8] J. Behr et al., “Early prediction of university dropouts — A random forest approach,” J. Educ. Comput. Res., vol. 60, n.º 5, pp. 1109–1148, 2022.</w:t>
      </w:r>
    </w:p>
    <w:p w:rsidP="473E729D" w14:paraId="207385B0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[9] S. Kaufman, S. Rosset y C. Perlich, “Leakage in data mining: Formulation, detection, and avoidance,” ACM Trans. Knowl. Discov. Data, vol. 6, n.º 4, 2012.</w:t>
      </w:r>
    </w:p>
    <w:p w:rsidP="473E729D" w14:paraId="70278599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[10] Y. Gorishniy et al., “Revisiting deep learning models for tabular data,” en Adv. Neural Inf. Process. Syst., vol. 34, 2021.</w:t>
      </w:r>
    </w:p>
    <w:p w:rsidP="473E729D" w14:paraId="3D41E0E6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[11] L. Grinsztajn, E. Oyallon y G. Varoquaux, “Why do tree-based models still outperform deep learning on typical tabular data?,” en Adv. Neural Inf. Process. Syst., vol. 35, 2022.</w:t>
      </w:r>
    </w:p>
    <w:p w14:paraId="05F7D697" w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[12] R. Shwartz-Ziv y A. Armon, “Tabular data: Deep learning is not all you need,” Inf. Fusion, vol. 81, pp. 84–90, 2022.</w:t>
      </w:r>
    </w:p>
    <w:p w14:paraId="231611DA" w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[13] F. Pedregosa et al., “Scikit-learn: Machine learning in Python,” J. Mach. Learn. Res., vol. 12, pp. 2825–2830, 2011.</w:t>
      </w:r>
    </w:p>
    <w:p w:rsidP="473E729D" w14:paraId="1E5EDC24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[14] A. Paszke et al., “PyTorch: An imperative style, high-performance deep learning library,” en Adv. Neural Inf. Process. Syst., vol. 32, 2019.</w:t>
      </w:r>
    </w:p>
    <w:p w:rsidP="473E729D" w14:paraId="45165E6E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[15] Ministerio de Educación Nacional, “Lineamientos SACES,” MEN, Bogotá, Colombia, 2023.</w:t>
      </w:r>
    </w:p>
    <w:p w:rsidP="473E729D" w14:paraId="708605DE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[16] J. C. Rangel-Mora y A. Pérez-Roa, “Predicción del rendimiento en pruebas Saber mediante minería de datos: revisión sistemática,” Rev. Colomb. Educ., n.º 82, 2021.</w:t>
      </w:r>
    </w:p>
    <w:p w14:paraId="0E3DBEDF" w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[17] C. Guo y F. Berkhahn, “Entity embeddings of categorical variables,” arXiv:1604.06737, 2016.</w:t>
      </w:r>
    </w:p>
    <w:p w:rsidP="473E729D" w14:paraId="15EAA365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[18] P. Cerda, G. Varoquaux y B. Kégl, “Similarity encoding for learning with dirty categorical variables,” Mach. Learn., vol. 107, 2018.</w:t>
      </w:r>
    </w:p>
    <w:p w:rsidP="473E729D" w14:paraId="6C8F92DF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[19] T. Hastie, R. Tibshirani y J. Friedman, The Elements of Statistical Learning, 2.ª ed. Springer, 2009.</w:t>
      </w:r>
    </w:p>
    <w:p w:rsidP="473E729D" w14:paraId="3B0E5298" w14:textId="77777777">
      <w:pPr>
        <w:jc w:val="both"/>
        <w:rPr>
          <w:rStyle w:val="17"/>
          <w:lang w:val="en-US"/>
        </w:rPr>
      </w:pPr>
      <w:r>
        <w:rPr>
          <w:rStyle w:val="17"/>
          <w:lang w:val="en-US"/>
        </w:rPr>
        <w:t>[20] P. J. L. Adeodato y R. L. C. Silva Filho, “Where to aim? Factors that influence the performance of Brazilian secondary schools,” en Proc. 13th International Conference on Educational Data Mining, 2020, pp. 545–549.</w:t>
      </w:r>
    </w:p>
    <w:p w14:paraId="1295AD52" w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[21] D. Chafla, M. Morocho y J. Ortega, “Machine learning models for academic performance prediction with explainability,” Frontiers in Education, vol. 10, 2025.</w:t>
      </w:r>
    </w:p>
    <w:p w:rsidP="473E729D" w14:paraId="6765FFC7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[22] S. Acıslı-Celik y C. M. Yesilkanat, “Predicting science achievement scores with ML: PISA 2015–2018,” Neural Comput. Appl., vol. 35, 2023.</w:t>
      </w:r>
    </w:p>
    <w:p w:rsidP="473E729D" w14:paraId="255A3E6D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[23] G. Rasch, “An item analysis which takes individual differences into account,” British J. Math. Stat. Psychol., vol. 19, n.º 1, pp. 49–57, 1966.</w:t>
      </w:r>
    </w:p>
    <w:p w:rsidP="473E729D" w14:paraId="016ECDFC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[24] A. E. Hoerl y R. W. Kennard, “Ridge regression: Biased estimation for nonorthogonal problems,” Technometrics, vol. 12, n.º 1, pp. 55–67, 1970.</w:t>
      </w:r>
    </w:p>
    <w:p w:rsidP="473E729D" w14:paraId="0CC51E40" w14:textId="77777777">
      <w:pPr>
        <w:jc w:val="both"/>
        <w:rPr>
          <w:rStyle w:val="17"/>
          <w:lang w:val="en-US"/>
        </w:rPr>
      </w:pPr>
      <w:r w:rsidRPr="473E729D" w:rsidR="473E729D">
        <w:rPr>
          <w:rStyle w:val="17"/>
          <w:lang w:val="en-US"/>
        </w:rPr>
        <w:t>[25] R. Tibshirani, “Regression shrinkage and selection via the lasso,” J. Royal Stat. Soc. B, vol. 58, n.º 1, pp. 267–288, 1996.</w:t>
      </w:r>
    </w:p>
    <w:p w14:paraId="7BB120C4" w14:textId="77777777">
      <w:pPr>
        <w:jc w:val="both"/>
        <w:rPr>
          <w:rStyle w:val="17"/>
          <w:rFonts w:hint="default"/>
          <w:lang w:val="en"/>
        </w:rPr>
      </w:pPr>
      <w:r>
        <w:rPr>
          <w:rStyle w:val="17"/>
          <w:rFonts w:hint="default"/>
          <w:lang w:val="en"/>
        </w:rPr>
        <w:t>[26] A. López-García et al., “Early detection of students’ failure using machine learning techniques,” Operations Research Perspectives, vol. 11, 2023.</w:t>
      </w:r>
    </w:p>
    <w:sectPr w:rsidR="00BE6CF2" w:rsidRPr="00C7650B" w:rsidSect="00537C1D">
      <w:headerReference w:type="even" r:id="rId8"/>
      <w:head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5C7AB" w14:textId="77777777" w:rsidR="0098426C" w:rsidRDefault="0098426C" w:rsidP="003148F9">
      <w:pPr>
        <w:spacing w:after="0" w:line="240" w:lineRule="auto"/>
      </w:pPr>
      <w:r>
        <w:separator/>
      </w:r>
    </w:p>
  </w:endnote>
  <w:endnote w:type="continuationSeparator" w:id="0">
    <w:p w14:paraId="60EAB46C" w14:textId="77777777" w:rsidR="0098426C" w:rsidRDefault="0098426C" w:rsidP="00314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578717"/>
      <w:docPartObj>
        <w:docPartGallery w:val="Page Numbers (Bottom of Page)"/>
        <w:docPartUnique/>
      </w:docPartObj>
    </w:sdtPr>
    <w:sdtContent>
      <w:p w14:paraId="3F423570" w14:textId="184D38DE" w:rsidR="00433632" w:rsidRPr="00EC6D1E" w:rsidRDefault="00433632" w:rsidP="00433632">
        <w:pPr>
          <w:pStyle w:val="Piedepgina"/>
          <w:rPr>
            <w:sz w:val="20"/>
          </w:rPr>
        </w:pPr>
        <w:r>
          <w:rPr>
            <w:sz w:val="20"/>
          </w:rPr>
          <w:t>DRAFT · Pendiente de análisis de similitud e IA y revisión final</w:t>
        </w:r>
      </w:p>
      <w:p w14:paraId="6A08D909" w14:textId="77777777" w:rsidR="00433632" w:rsidRDefault="00433632" w:rsidP="0043363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61</w:t>
        </w:r>
        <w:r>
          <w:fldChar w:fldCharType="end"/>
        </w:r>
      </w:p>
    </w:sdtContent>
  </w:sdt>
  <w:p w14:paraId="3780FA6E" w14:textId="77777777" w:rsidR="00CF2CE6" w:rsidRDefault="00CF2CE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D8DB9" w14:textId="77777777" w:rsidR="0098426C" w:rsidRDefault="0098426C" w:rsidP="003148F9">
      <w:pPr>
        <w:spacing w:after="0" w:line="240" w:lineRule="auto"/>
      </w:pPr>
      <w:r>
        <w:separator/>
      </w:r>
    </w:p>
  </w:footnote>
  <w:footnote w:type="continuationSeparator" w:id="0">
    <w:p w14:paraId="245E05BB" w14:textId="77777777" w:rsidR="0098426C" w:rsidRDefault="0098426C" w:rsidP="00314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tabs>
        <w:tab w:val="right" w:pos="8838"/>
      </w:tabs>
      <w:spacing w:after="0" w:before="0"/>
    </w:pPr>
    <w:r>
      <w:rPr>
        <w:rFonts w:ascii="Calibri" w:hAnsi="Calibri"/>
        <w:sz w:val="18"/>
      </w:rPr>
      <w:t>Saber Pro · Paz Bedoya y Orozco Morales · DRAFT</w:t>
    </w:r>
    <w:r>
      <w:tab/>
    </w:r>
    <w:fldSimple w:instr="PAGE">
      <w:r>
        <w:rPr>
          <w:sz w:val="18"/>
        </w:rPr>
        <w:t>2</w:t>
      </w:r>
    </w:fldSimple>
  </w:p>
</w:hdr>
</file>

<file path=word/header2.xml><?xml version="1.0" encoding="utf-8"?>
<w:hdr xmlns:w="http://schemas.openxmlformats.org/wordprocessingml/2006/main">
  <w:p>
    <w:pPr>
      <w:tabs>
        <w:tab w:val="right" w:pos="8838"/>
      </w:tabs>
      <w:spacing w:after="0" w:before="0"/>
    </w:pPr>
    <w:r>
      <w:rPr>
        <w:rFonts w:ascii="Calibri" w:hAnsi="Calibri"/>
        <w:sz w:val="18"/>
      </w:rPr>
      <w:t>Saber Pro · Paz Bedoya y Orozco Morales · DRAFT</w:t>
    </w:r>
    <w:r>
      <w:tab/>
    </w:r>
    <w:fldSimple w:instr="PAGE">
      <w:r>
        <w:rPr>
          <w:sz w:val="18"/>
        </w:rPr>
        <w:t>2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4"/>
      <w:gridCol w:w="3304"/>
    </w:tblGrid>
    <w:tr w:rsidR="00354B44" w14:paraId="2C68E7BA" w14:textId="77777777" w:rsidTr="00354B44">
      <w:tc>
        <w:tcPr>
          <w:tcW w:w="5524" w:type="dxa"/>
        </w:tcPr>
        <w:p w14:paraId="3FB65ADC" w14:textId="77777777" w:rsidR="00354B44" w:rsidRPr="00354B44" w:rsidRDefault="00354B44">
          <w:pPr>
            <w:pStyle w:val="Encabezado"/>
            <w:rPr>
              <w:lang w:val="en-US"/>
            </w:rPr>
          </w:pPr>
        </w:p>
        <w:p w14:paraId="51C87AFE" w14:textId="77777777" w:rsidR="00354B44" w:rsidRPr="00354B44" w:rsidRDefault="00354B44">
          <w:pPr>
            <w:pStyle w:val="Encabezado"/>
            <w:rPr>
              <w:lang w:val="en-US"/>
            </w:rPr>
          </w:pPr>
        </w:p>
        <w:p w14:paraId="132350A5" w14:textId="77777777" w:rsidR="00354B44" w:rsidRPr="00354B44" w:rsidRDefault="00354B44">
          <w:pPr>
            <w:pStyle w:val="Encabezado"/>
            <w:rPr>
              <w:lang w:val="en-US"/>
            </w:rPr>
          </w:pPr>
        </w:p>
        <w:p w14:paraId="4CD992C5" w14:textId="29735672" w:rsidR="00354B44" w:rsidRPr="00354B44" w:rsidRDefault="00354B44">
          <w:pPr>
            <w:pStyle w:val="Encabezado"/>
            <w:rPr>
              <w:lang w:val="en-US"/>
            </w:rPr>
          </w:pPr>
          <w:r>
            <w:rPr>
              <w:lang w:val="en-US"/>
            </w:rPr>
            <w:t>Abstraction &amp; Application · CONACIC 2026 · DRAFT</w:t>
          </w:r>
        </w:p>
      </w:tc>
      <w:tc>
        <w:tcPr>
          <w:tcW w:w="3304" w:type="dxa"/>
        </w:tcPr>
        <w:p w14:paraId="51E07EAF" w14:textId="77777777" w:rsidR="00354B44" w:rsidRDefault="00354B44" w:rsidP="00354B44">
          <w:pPr>
            <w:pStyle w:val="Encabezado"/>
            <w:jc w:val="right"/>
          </w:pPr>
          <w:r>
            <w:t xml:space="preserve">UADY  </w:t>
          </w:r>
          <w:r>
            <w:rPr>
              <w:noProof/>
              <w:lang w:val="en-US"/>
            </w:rPr>
            <w:drawing>
              <wp:inline distT="0" distB="0" distL="0" distR="0" wp14:anchorId="55A823B7" wp14:editId="2E6EFF45">
                <wp:extent cx="434123" cy="751224"/>
                <wp:effectExtent l="0" t="0" r="4445" b="0"/>
                <wp:docPr id="4" name="Imagen 4" descr="C:\Users\mramirez\Documents\2016\sem2-2016\Abstraction &amp; Application\Template\uady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mramirez\Documents\2016\sem2-2016\Abstraction &amp; Application\Template\uady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457966" cy="7924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F8E907A" w14:textId="77777777" w:rsidR="00902151" w:rsidRDefault="009021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90D4B"/>
    <w:multiLevelType w:val="hybridMultilevel"/>
    <w:tmpl w:val="4C2ED6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2290C"/>
    <w:multiLevelType w:val="hybridMultilevel"/>
    <w:tmpl w:val="CC5A287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F68E0"/>
    <w:multiLevelType w:val="hybridMultilevel"/>
    <w:tmpl w:val="52DE703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F67E19"/>
    <w:multiLevelType w:val="hybridMultilevel"/>
    <w:tmpl w:val="C50CF50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BC0EE1"/>
    <w:multiLevelType w:val="hybridMultilevel"/>
    <w:tmpl w:val="DB640A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A72CCA"/>
    <w:multiLevelType w:val="hybridMultilevel"/>
    <w:tmpl w:val="0DD2B54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914136">
    <w:abstractNumId w:val="1"/>
  </w:num>
  <w:num w:numId="2" w16cid:durableId="1428845920">
    <w:abstractNumId w:val="5"/>
  </w:num>
  <w:num w:numId="3" w16cid:durableId="238103284">
    <w:abstractNumId w:val="2"/>
  </w:num>
  <w:num w:numId="4" w16cid:durableId="325548940">
    <w:abstractNumId w:val="3"/>
  </w:num>
  <w:num w:numId="5" w16cid:durableId="2030787272">
    <w:abstractNumId w:val="0"/>
  </w:num>
  <w:num w:numId="6" w16cid:durableId="1493764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3CD"/>
    <w:rsid w:val="000178AF"/>
    <w:rsid w:val="00035DF3"/>
    <w:rsid w:val="000566BC"/>
    <w:rsid w:val="0007482E"/>
    <w:rsid w:val="000A266E"/>
    <w:rsid w:val="000B2189"/>
    <w:rsid w:val="000B4746"/>
    <w:rsid w:val="000D2C26"/>
    <w:rsid w:val="000F27BA"/>
    <w:rsid w:val="0011308C"/>
    <w:rsid w:val="00136702"/>
    <w:rsid w:val="00144FB7"/>
    <w:rsid w:val="001A0190"/>
    <w:rsid w:val="001A0AE0"/>
    <w:rsid w:val="001A4218"/>
    <w:rsid w:val="00204BC1"/>
    <w:rsid w:val="002056E9"/>
    <w:rsid w:val="00232E02"/>
    <w:rsid w:val="00241745"/>
    <w:rsid w:val="00247B94"/>
    <w:rsid w:val="00276974"/>
    <w:rsid w:val="002A581B"/>
    <w:rsid w:val="002B0C1A"/>
    <w:rsid w:val="002C2899"/>
    <w:rsid w:val="002D7C46"/>
    <w:rsid w:val="002E2E33"/>
    <w:rsid w:val="003148F9"/>
    <w:rsid w:val="0031679F"/>
    <w:rsid w:val="00316941"/>
    <w:rsid w:val="00321897"/>
    <w:rsid w:val="003312E1"/>
    <w:rsid w:val="003372AD"/>
    <w:rsid w:val="00347E4A"/>
    <w:rsid w:val="00354B44"/>
    <w:rsid w:val="00383059"/>
    <w:rsid w:val="003833BE"/>
    <w:rsid w:val="0038376B"/>
    <w:rsid w:val="00387225"/>
    <w:rsid w:val="00422AE9"/>
    <w:rsid w:val="00433632"/>
    <w:rsid w:val="004478E4"/>
    <w:rsid w:val="0046319C"/>
    <w:rsid w:val="00493E89"/>
    <w:rsid w:val="004A3DB6"/>
    <w:rsid w:val="004A7BD8"/>
    <w:rsid w:val="00505ED3"/>
    <w:rsid w:val="00512430"/>
    <w:rsid w:val="00537C1D"/>
    <w:rsid w:val="00543415"/>
    <w:rsid w:val="00562712"/>
    <w:rsid w:val="005656F5"/>
    <w:rsid w:val="005A321A"/>
    <w:rsid w:val="005F1C18"/>
    <w:rsid w:val="006031A8"/>
    <w:rsid w:val="00617E5B"/>
    <w:rsid w:val="006413B2"/>
    <w:rsid w:val="00642B2A"/>
    <w:rsid w:val="006632C2"/>
    <w:rsid w:val="006810AE"/>
    <w:rsid w:val="0068692F"/>
    <w:rsid w:val="006950BA"/>
    <w:rsid w:val="00696124"/>
    <w:rsid w:val="006A15EE"/>
    <w:rsid w:val="006B617A"/>
    <w:rsid w:val="006D1C29"/>
    <w:rsid w:val="006E1E0A"/>
    <w:rsid w:val="006F72A8"/>
    <w:rsid w:val="007159E6"/>
    <w:rsid w:val="00771EEC"/>
    <w:rsid w:val="007837E2"/>
    <w:rsid w:val="00785157"/>
    <w:rsid w:val="00797CD9"/>
    <w:rsid w:val="007B613E"/>
    <w:rsid w:val="007C2273"/>
    <w:rsid w:val="008216F9"/>
    <w:rsid w:val="00852A1A"/>
    <w:rsid w:val="00895983"/>
    <w:rsid w:val="008B0BCF"/>
    <w:rsid w:val="008F7405"/>
    <w:rsid w:val="009020F9"/>
    <w:rsid w:val="00902151"/>
    <w:rsid w:val="009076C0"/>
    <w:rsid w:val="009327CC"/>
    <w:rsid w:val="00940814"/>
    <w:rsid w:val="009518B9"/>
    <w:rsid w:val="00954DFB"/>
    <w:rsid w:val="0098426C"/>
    <w:rsid w:val="009D16A6"/>
    <w:rsid w:val="009D7DA3"/>
    <w:rsid w:val="009E09B2"/>
    <w:rsid w:val="00A068A6"/>
    <w:rsid w:val="00A8027F"/>
    <w:rsid w:val="00A81754"/>
    <w:rsid w:val="00AA2FF6"/>
    <w:rsid w:val="00AA6CFE"/>
    <w:rsid w:val="00AC27F4"/>
    <w:rsid w:val="00AF4BF9"/>
    <w:rsid w:val="00AF5D6F"/>
    <w:rsid w:val="00B070ED"/>
    <w:rsid w:val="00B1337C"/>
    <w:rsid w:val="00B52E54"/>
    <w:rsid w:val="00B715FD"/>
    <w:rsid w:val="00B81BFF"/>
    <w:rsid w:val="00BA1E63"/>
    <w:rsid w:val="00BA25D6"/>
    <w:rsid w:val="00BE486D"/>
    <w:rsid w:val="00BE6CF2"/>
    <w:rsid w:val="00C2429A"/>
    <w:rsid w:val="00C26EBB"/>
    <w:rsid w:val="00C65D07"/>
    <w:rsid w:val="00C7650B"/>
    <w:rsid w:val="00C95798"/>
    <w:rsid w:val="00C969F1"/>
    <w:rsid w:val="00CA0979"/>
    <w:rsid w:val="00CC2318"/>
    <w:rsid w:val="00CF2CE6"/>
    <w:rsid w:val="00D355AE"/>
    <w:rsid w:val="00D57BF6"/>
    <w:rsid w:val="00D75259"/>
    <w:rsid w:val="00DA4300"/>
    <w:rsid w:val="00DC1346"/>
    <w:rsid w:val="00DD6ABE"/>
    <w:rsid w:val="00DE52DA"/>
    <w:rsid w:val="00E03CA8"/>
    <w:rsid w:val="00E34D0D"/>
    <w:rsid w:val="00E462E9"/>
    <w:rsid w:val="00E517AC"/>
    <w:rsid w:val="00E639E7"/>
    <w:rsid w:val="00E70EEA"/>
    <w:rsid w:val="00E83A59"/>
    <w:rsid w:val="00F25A59"/>
    <w:rsid w:val="00F345CA"/>
    <w:rsid w:val="00F41DED"/>
    <w:rsid w:val="00F52987"/>
    <w:rsid w:val="00F66156"/>
    <w:rsid w:val="00F75A76"/>
    <w:rsid w:val="00FB33CD"/>
    <w:rsid w:val="00FB545B"/>
    <w:rsid w:val="00FC4A8A"/>
    <w:rsid w:val="00FD0DBF"/>
    <w:rsid w:val="00FE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3BD6B"/>
  <w15:chartTrackingRefBased/>
  <w15:docId w15:val="{53362516-0A2C-415D-A461-D336EFC7FFB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B33CD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3148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148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48F9"/>
  </w:style>
  <w:style w:type="paragraph" w:styleId="Piedepgina">
    <w:name w:val="footer"/>
    <w:basedOn w:val="Normal"/>
    <w:link w:val="PiedepginaCar"/>
    <w:uiPriority w:val="99"/>
    <w:unhideWhenUsed/>
    <w:rsid w:val="003148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48F9"/>
  </w:style>
  <w:style w:type="table" w:styleId="Tablaconcuadrcula">
    <w:name w:val="Table Grid"/>
    <w:basedOn w:val="Tablanormal"/>
    <w:uiPriority w:val="39"/>
    <w:rsid w:val="00314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1A0190"/>
    <w:rPr>
      <w:color w:val="954F72" w:themeColor="followed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076C0"/>
    <w:rPr>
      <w:color w:val="605E5C"/>
      <w:shd w:val="clear" w:color="auto" w:fill="E1DFDD"/>
    </w:rPr>
  </w:style>
  <w:style w:type="paragraph" w:customStyle="1" w:styleId="Default">
    <w:name w:val="Default"/>
    <w:rsid w:val="00E462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keywords">
    <w:name w:val="key words"/>
    <w:rsid w:val="0031679F"/>
    <w:pPr>
      <w:spacing w:after="120" w:line="240" w:lineRule="auto"/>
      <w:ind w:firstLine="288"/>
      <w:jc w:val="both"/>
    </w:pPr>
    <w:rPr>
      <w:rFonts w:ascii="Times New Roman" w:eastAsia="SimSun" w:hAnsi="Times New Roman" w:cs="Times New Roman"/>
      <w:b/>
      <w:bCs/>
      <w:i/>
      <w:iCs/>
      <w:noProof/>
      <w:sz w:val="18"/>
      <w:szCs w:val="18"/>
      <w:lang w:val="en-US"/>
    </w:rPr>
  </w:style>
  <w:style w:type="paragraph" w:styleId="Textoindependiente">
    <w:name w:val="Body Text"/>
    <w:basedOn w:val="Normal"/>
    <w:link w:val="TextoindependienteCar"/>
    <w:rsid w:val="00387225"/>
    <w:pPr>
      <w:spacing w:after="0" w:line="228" w:lineRule="auto"/>
      <w:ind w:firstLine="288"/>
      <w:jc w:val="both"/>
    </w:pPr>
    <w:rPr>
      <w:rFonts w:ascii="Times New Roman" w:eastAsia="SimSun" w:hAnsi="Times New Roman" w:cs="Times New Roman"/>
      <w:spacing w:val="-1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387225"/>
    <w:rPr>
      <w:rFonts w:ascii="Times New Roman" w:eastAsia="SimSun" w:hAnsi="Times New Roman" w:cs="Times New Roman"/>
      <w:spacing w:val="-1"/>
      <w:sz w:val="20"/>
      <w:szCs w:val="20"/>
      <w:lang w:val="en-US"/>
    </w:rPr>
  </w:style>
  <w:style w:type="character" w:customStyle="1" w:styleId="tlid-translation">
    <w:name w:val="tlid-translation"/>
    <w:basedOn w:val="Fuentedeprrafopredeter"/>
    <w:rsid w:val="00276974"/>
  </w:style>
  <w:style w:type="character" w:customStyle="1" w:styleId="rynqvb">
    <w:name w:val="rynqvb"/>
    <w:basedOn w:val="Fuentedeprrafopredeter"/>
    <w:rsid w:val="008F7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1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8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42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699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73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9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1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5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0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9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8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0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3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0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61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0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25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96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419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3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0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Conacic1" Type="http://schemas.openxmlformats.org/officeDocument/2006/relationships/image" Target="media/conacic_image8.jpeg"/><Relationship Id="rIdConacic2" Type="http://schemas.openxmlformats.org/officeDocument/2006/relationships/image" Target="media/conacic_image7.jpeg"/><Relationship Id="rIdConacic3" Type="http://schemas.openxmlformats.org/officeDocument/2006/relationships/image" Target="media/conacic_image6.jpeg"/><Relationship Id="rIdConacic4" Type="http://schemas.openxmlformats.org/officeDocument/2006/relationships/image" Target="media/conacic_image5.jpeg"/><Relationship Id="rIdConacic5" Type="http://schemas.openxmlformats.org/officeDocument/2006/relationships/image" Target="media/conacic_image4.jpeg"/><Relationship Id="rIdConacic6" Type="http://schemas.openxmlformats.org/officeDocument/2006/relationships/image" Target="media/conacic_image3.jpeg"/><Relationship Id="rIdConacic7" Type="http://schemas.openxmlformats.org/officeDocument/2006/relationships/image" Target="media/conacic_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457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Predicción del PROMEDIO_GLOBAL de Saber Pro mediante LightGBM y auditoría de fuga temporal: un estudio a nivel de programa académico en Colombia</dc:title>
  <dc:subject/>
  <dc:creator>Edwin Santiago Paz Bedoya; Nathalia Orozco Morales</dc:creator>
  <cp:keywords/>
  <dc:description>DRAFT. No enviar. Pendiente de análisis de similitud e IA y revisión final.</dc:description>
  <cp:lastModifiedBy>Raul Antonio Aguilar Vera</cp:lastModifiedBy>
  <cp:revision>30</cp:revision>
  <cp:lastPrinted>2020-08-25T00:11:00Z</cp:lastPrinted>
  <dcterms:created xsi:type="dcterms:W3CDTF">2020-08-25T06:42:00Z</dcterms:created>
  <dcterms:modified xsi:type="dcterms:W3CDTF">2023-03-22T00:04:00Z</dcterms:modified>
</cp:coreProperties>
</file>