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ind w:left="0" w:firstLine="0"/>
        <w:rPr/>
      </w:pPr>
      <w:bookmarkStart w:colFirst="0" w:colLast="0" w:name="_117pfh53iill" w:id="0"/>
      <w:bookmarkEnd w:id="0"/>
      <w:r w:rsidDel="00000000" w:rsidR="00000000" w:rsidRPr="00000000">
        <w:rPr>
          <w:rtl w:val="0"/>
        </w:rPr>
        <w:t xml:space="preserve">Feladatok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feladat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Fenntarthatósági hét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Életrendünk akkor fenntartható, ha anyagforgalma körkörös, azaz illeszkedik a természet rendjébe. A fenntarthatóság elsősorban a népességre jutó erőforrásainktól függ. A fizika egy alapvető állítása szerint folyamatok körfolyamatokká alakíthatóak, ha kívülről elég energiát viszünk be a rendszerbe. Körfolyamattá alakítás során a bevitt energia részben hulladékhővé alakul. Ezért bármilyen gyártási eljárás és az azt követő felhasználás energia szempontjából körfolyamattá zárható, amennyiben van elég energia, és a hulladékhőt le tudjuk adni. Bőséges erőforrások, energia és alapanyag birtokában életrendünk (az emberi tevékenység) ehhez hasonlóan fenntarthatónak tekinthető, ha a folyamatok (anyagi, nem energia jellegű) termékeinek és melléktermékeinek, hulladékainak felhasználását zárt körfolyamattá tesszük (újrahasznosítás, recycling). Mindezek egy bizonyos környezeti állapot (klíma, meteorológiai viszonyok, CO2-O2 egyensúly) geológiai adottságok (bányászat, víz, mezőgazdasági terület) mellett, bizonyos, ezzel arányos népesség mellett volnának elvileg lehetségesek. Ez felelne meg egy elméleti, társadalom-természet egyensúly esetének. A természetes újratermelődés és a tényleges fogyasztás arányossági jellemzője azonban ennél kevesebb, ezt mutatja a túlfogyasztás napja.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Mentsd el külön változókba  a fenntarthatóság szintjeit, amit az ábráról olvashatsz le: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345744</wp:posOffset>
            </wp:positionV>
            <wp:extent cx="2858296" cy="211074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8296" cy="21107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1440" w:hanging="36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a.</w:t>
      </w:r>
      <w:r w:rsidDel="00000000" w:rsidR="00000000" w:rsidRPr="00000000">
        <w:rPr>
          <w:color w:val="242729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változó neve: elsoSzint, változó értéke: Ökoszisztéma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1440" w:hanging="36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b.</w:t>
      </w:r>
      <w:r w:rsidDel="00000000" w:rsidR="00000000" w:rsidRPr="00000000">
        <w:rPr>
          <w:color w:val="242729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változó neve: masodikSzint, változó értéke: Társadalom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ind w:left="1440" w:hanging="36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c.</w:t>
      </w:r>
      <w:r w:rsidDel="00000000" w:rsidR="00000000" w:rsidRPr="00000000">
        <w:rPr>
          <w:color w:val="242729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változó neve: harmadikSzint, változó értéke: Gazdaság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1440" w:hanging="36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d.</w:t>
      </w:r>
      <w:r w:rsidDel="00000000" w:rsidR="00000000" w:rsidRPr="00000000">
        <w:rPr>
          <w:color w:val="242729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változó neve: negyedikSzint, változó értéke: Pénz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left="1440" w:hanging="36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ind w:left="0" w:firstLine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 főoldalon készíts egy két hasábos felosztást. Az első hasábjába a kép kerüljön. A második hasábba egy címsor: „A fenntarthatóság szintjei felirattal.” Majd alatta egy felsorolásban jelenjenek meg a változó értékei.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ind w:left="720" w:hanging="36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2.</w:t>
      </w:r>
      <w:r w:rsidDel="00000000" w:rsidR="00000000" w:rsidRPr="00000000">
        <w:rPr>
          <w:color w:val="242729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feladat: Hozz létre három tömböt, amiben a fogyasztás és fenntarthatóság táblázat egyes oszlopait tárolod. A tömbök legyenek számmal indexeltek.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60" w:before="240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Fogyasztás, környezet és fenntarthatóság kapcsolata</w:t>
      </w:r>
    </w:p>
    <w:tbl>
      <w:tblPr>
        <w:tblStyle w:val="Table1"/>
        <w:tblW w:w="888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380"/>
        <w:gridCol w:w="1830"/>
        <w:gridCol w:w="2670"/>
        <w:tblGridChange w:id="0">
          <w:tblGrid>
            <w:gridCol w:w="4380"/>
            <w:gridCol w:w="1830"/>
            <w:gridCol w:w="267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before="240" w:lineRule="auto"/>
              <w:jc w:val="center"/>
              <w:rPr>
                <w:b w:val="1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02122"/>
                <w:sz w:val="21"/>
                <w:szCs w:val="21"/>
                <w:highlight w:val="white"/>
                <w:rtl w:val="0"/>
              </w:rPr>
              <w:t xml:space="preserve">A megújuló erőforrások fogyasztása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before="240" w:lineRule="auto"/>
              <w:jc w:val="center"/>
              <w:rPr>
                <w:b w:val="1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02122"/>
                <w:sz w:val="21"/>
                <w:szCs w:val="21"/>
                <w:highlight w:val="white"/>
                <w:rtl w:val="0"/>
              </w:rPr>
              <w:t xml:space="preserve">A környezet helyzete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before="240" w:lineRule="auto"/>
              <w:jc w:val="center"/>
              <w:rPr>
                <w:b w:val="1"/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02122"/>
                <w:sz w:val="21"/>
                <w:szCs w:val="21"/>
                <w:highlight w:val="white"/>
                <w:rtl w:val="0"/>
              </w:rPr>
              <w:t xml:space="preserve">Fenntarthatóság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Rule="auto"/>
              <w:jc w:val="center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több, mint amit a természet újratermelni képes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before="240" w:lineRule="auto"/>
              <w:jc w:val="center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a környezet pusztul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before="240" w:lineRule="auto"/>
              <w:jc w:val="center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nem fenntartható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before="240" w:lineRule="auto"/>
              <w:jc w:val="center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a természet újratermelő kapacitásával azonos mértékű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before="240" w:lineRule="auto"/>
              <w:jc w:val="center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környezeti egyensúly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before="240" w:lineRule="auto"/>
              <w:jc w:val="center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fenntartható, nem változó állapot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before="240" w:lineRule="auto"/>
              <w:jc w:val="center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kevesebb, mint amit a természet újratermelni képes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before="240" w:lineRule="auto"/>
              <w:jc w:val="center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a környezet megújul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before="240" w:lineRule="auto"/>
              <w:jc w:val="center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fenntartható fejlődés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spacing w:after="240" w:before="24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A főoldalon írasd is ki a tartalmát. Az első feladat megoldása után.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color w:val="202122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feladat: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466725</wp:posOffset>
            </wp:positionV>
            <wp:extent cx="2286000" cy="22002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firstLine="0"/>
        <w:jc w:val="both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a.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</w:t>
        <w:tab/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 megujuloEnergia nevű weboldalon írasd ki a főcímet: „Megújuló energiaforrás”. Majd alatta egy bekezdésbe a következő szöveget: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firstLine="0"/>
        <w:jc w:val="both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„Megújuló energiaforrásnak nevezzük az energiahordozók azon csoportját, amelyek emberi időléptékben képesek megújulni, azaz nem fogynak el, ellentétben a nem megújuló energiaforrásokkal. A megújuló energiaforrások a napenergia közvetlen termikus és fotoelektromos hasznosítása, a biomassza, szélenergia, vízenergia, a tenger hullámzásából kinyerhető energia, a geotermikus energia, valamint a Holddal összefüggésben az árapály energia. A geotermikus energia a Nappal való kapcsolat, a földfelszín Napból és a magmából származó energiaáram jelentős különbsége alapján sorolható a megújuló energiaforrások közé.”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firstLine="0"/>
        <w:jc w:val="both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b.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</w:t>
        <w:tab/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Hozz létre egy asszociatív tömböt megUjAr néven, amiben a táblázatban szereplő országnevek legyenek az indexek és 2020Eu-cél oszlopban található értékeket tartalmazza.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firstLine="0"/>
        <w:jc w:val="both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c.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</w:t>
        <w:tab/>
        <w:t xml:space="preserve">Í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rasd ki a tömbből egy táblázatban Ország, Eu-cél 2020 oszlopfeliratokkal a tömbből (egy sorban legyen a kulcs-érték pár, utána sortörés).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firstLine="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</w:t>
        <w:tab/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 vízVedelme weboldalon a víz következező szöveget jelenítsd meg: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color w:val="202122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feladat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Hogyan takarékoskodhatunk a vízzel?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360" w:firstLine="0"/>
        <w:jc w:val="both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A Föld édesvízkészlete véges, hogyan takarékoskodhatunk a vízzel?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left="360" w:firstLine="0"/>
        <w:jc w:val="both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Az ivóvíz születéséért rengeteget dolgoznak a vízcseppek és az emberek is. Ráadásul a felhasználható víz mennyisége sem korlátlan. Ezért mondják a víztörténetét ismerő felnőttek, hogy óvd a természetet és takarékoskodj a vízzel. Fürdés helyett inkább zuhanyozz! Egészségesebb és takarékosabb is, mint a kádban fürdés. Ne folyasd feleslegesen a vizet, a fogmosáshoz használj poharat! Ha csöpögő csapot látsz, szólj a felnőtteknek! A mosógépet rakjuk tele ruhával, ha beindítjuk, egy-két pólóért pazarlás beindítani. De azzal is vizet spórolunk meg, ha vigyázunk a ruháink tisztáságára. Ha kevesebb ruhát piszkolunk össze, kevesebb lesz a mosnivalónk is. Ügyeljünk arra, hogy sáros lábbal ne menjünk be a lakásba, mert úgy is megspórolhatunk vizet, ha nem kell naponta többször felmosnunk. A kertet reggel és este locsold, ilyenkor kevésbé párolog a víz. De locsolásra használhatjuk az összegyűjtött esővizet is. A vizet a növények gyökeréhez juttasd!”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425.19685039370086" w:firstLine="0"/>
        <w:jc w:val="both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 folyadékáram jellemző adata a folyadék áramlási sebessége (v). Az áramló folyadék mennyiségét a térfogatárammal fejezzük ki. A térfogatáram egy adott keresztmetszeten időegység alatt átáramló folyadék térfogata. A térfogatáram számítása: V = v × A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left="2160" w:hanging="360"/>
        <w:jc w:val="both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42729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ahol: V az adott keresztmetszeten időegység alatt átáramló folyadék térfogata,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left="2160" w:hanging="360"/>
        <w:jc w:val="both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42729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mértékegysége: m</w:t>
      </w:r>
      <w:r w:rsidDel="00000000" w:rsidR="00000000" w:rsidRPr="00000000">
        <w:rPr>
          <w:color w:val="242729"/>
          <w:sz w:val="23"/>
          <w:szCs w:val="23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/s  ,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2160" w:hanging="360"/>
        <w:jc w:val="both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42729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v a folyadék áramlási sebessége, mértékegysége: m/s ,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2160" w:hanging="360"/>
        <w:jc w:val="both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42729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A a folyadékáram keresztmetszete, mértékegysége: m</w:t>
      </w:r>
      <w:r w:rsidDel="00000000" w:rsidR="00000000" w:rsidRPr="00000000">
        <w:rPr>
          <w:color w:val="242729"/>
          <w:sz w:val="23"/>
          <w:szCs w:val="23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425.19685039370086" w:firstLine="0"/>
        <w:jc w:val="both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Készíts egy űrlapot ahol v a folyadékáram és A a folyadékáram áramlási sebessége alapján. A felhasználó kitudja számolni V átáramló folyadék térfogatát. A kiszámolt értéket az űrlap alatt jelenítsd meg!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left="1080" w:firstLine="0"/>
        <w:jc w:val="both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Forrás: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jc w:val="both"/>
        <w:rPr>
          <w:color w:val="1155cc"/>
          <w:sz w:val="21"/>
          <w:szCs w:val="21"/>
          <w:highlight w:val="white"/>
          <w:u w:val="single"/>
        </w:rPr>
      </w:pP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https://hu.wikipedia.org/wiki/Fenntarthat%C3%B3_fejl%C5%91d%C3%A9s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jc w:val="both"/>
        <w:rPr>
          <w:color w:val="1155cc"/>
          <w:sz w:val="21"/>
          <w:szCs w:val="21"/>
          <w:highlight w:val="white"/>
          <w:u w:val="single"/>
        </w:rPr>
      </w:pP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https://hu.wikipedia.org/wiki/Meg%C3%BAjul%C3%B3_energiaforr%C3%A1s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jc w:val="both"/>
        <w:rPr>
          <w:color w:val="1155cc"/>
          <w:sz w:val="21"/>
          <w:szCs w:val="21"/>
          <w:highlight w:val="white"/>
          <w:u w:val="single"/>
        </w:rPr>
      </w:pP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https://www.fkf.hu/budapest-szelektiv-hulladekgyujtesi-rendszere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jc w:val="both"/>
        <w:rPr>
          <w:color w:val="1155cc"/>
          <w:sz w:val="21"/>
          <w:szCs w:val="21"/>
          <w:highlight w:val="white"/>
          <w:u w:val="single"/>
        </w:rPr>
      </w:pP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https://www.nive.hu/Downloads/Szakkepzesi_dokumentumok/Bemeneti_kompetenciak_meresi_ertekelesi_eszkozrendszerenek_kialakitasa/8_2047_023_101215.pdf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24.6456692913421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nive.hu/Downloads/Szakkepzesi_dokumentumok/Bemeneti_kompetenciak_meresi_ertekelesi_eszkozrendszerenek_kialakitasa/8_2047_023_101215.pdf" TargetMode="External"/><Relationship Id="rId10" Type="http://schemas.openxmlformats.org/officeDocument/2006/relationships/hyperlink" Target="https://www.fkf.hu/budapest-szelektiv-hulladekgyujtesi-rendszere" TargetMode="External"/><Relationship Id="rId9" Type="http://schemas.openxmlformats.org/officeDocument/2006/relationships/hyperlink" Target="https://hu.wikipedia.org/wiki/Meg%C3%BAjul%C3%B3_energiaforr%C3%A1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hu.wikipedia.org/wiki/Fenntarthat%C3%B3_fejl%C5%91d%C3%A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