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FC27" w14:textId="77777777" w:rsidR="00864B8A" w:rsidRDefault="0012031E">
      <w:pPr>
        <w:spacing w:after="40"/>
        <w:jc w:val="center"/>
      </w:pPr>
      <w:r>
        <w:rPr>
          <w:b/>
          <w:color w:val="000000"/>
          <w:sz w:val="36"/>
        </w:rPr>
        <w:t>An AI-Powered Equity Research Dashboard:</w:t>
      </w:r>
    </w:p>
    <w:p w14:paraId="5FC3213C" w14:textId="77777777" w:rsidR="00864B8A" w:rsidRDefault="0012031E">
      <w:pPr>
        <w:jc w:val="center"/>
      </w:pPr>
      <w:r>
        <w:rPr>
          <w:b/>
          <w:color w:val="000000"/>
          <w:sz w:val="28"/>
        </w:rPr>
        <w:t>Reconciling Quantitative Signals with Earnings Call Sentiment</w:t>
      </w:r>
    </w:p>
    <w:p w14:paraId="5BDED60F" w14:textId="77777777" w:rsidR="00864B8A" w:rsidRDefault="0012031E">
      <w:pPr>
        <w:spacing w:after="40"/>
        <w:jc w:val="center"/>
      </w:pPr>
      <w:r>
        <w:rPr>
          <w:sz w:val="24"/>
        </w:rPr>
        <w:t>Blake Stanley and Will Pechersky</w:t>
      </w:r>
    </w:p>
    <w:p w14:paraId="0EC6E06F" w14:textId="6B246BE3" w:rsidR="00864B8A" w:rsidRDefault="0012031E">
      <w:pPr>
        <w:spacing w:after="200"/>
        <w:jc w:val="center"/>
      </w:pPr>
      <w:r>
        <w:rPr>
          <w:i/>
        </w:rPr>
        <w:t>FIN 372T</w:t>
      </w:r>
      <w:r>
        <w:rPr>
          <w:i/>
        </w:rPr>
        <w:t xml:space="preserve">  ·  Group 9  ·  Spring 2026</w:t>
      </w:r>
    </w:p>
    <w:p w14:paraId="7E9CB3C6" w14:textId="77777777" w:rsidR="00864B8A" w:rsidRDefault="0012031E">
      <w:pPr>
        <w:keepNext/>
        <w:spacing w:before="80" w:after="40"/>
      </w:pPr>
      <w:r>
        <w:rPr>
          <w:b/>
          <w:color w:val="000000"/>
          <w:sz w:val="24"/>
        </w:rPr>
        <w:t>Abstract</w:t>
      </w:r>
    </w:p>
    <w:p w14:paraId="5CA9AEA3" w14:textId="77777777" w:rsidR="00864B8A" w:rsidRDefault="0012031E">
      <w:r>
        <w:t>This paper presents an AI-powered equity research dashboard that combines five well-established quantitative signals with quarterly earnings call sentiment and uses Anthropic's Claude (Sonnet 4.6) to synthesize a bull case, bear case, and key risks for any U.S. equity. Quantitative scores are pre-computed from WRDS Compustat fundamentals and CRSP monthly returns; sentiment is scored live from Motley Fool transcripts using VADER tone, Loughran-McDonald hedging, and a forward-looking confidence measure. The d</w:t>
      </w:r>
      <w:r>
        <w:t>ashboard surfaces a composite percentile score, a per-component breakdown, and an explicit divergence flag when fundamentals and management language tell different stories.</w:t>
      </w:r>
    </w:p>
    <w:p w14:paraId="749D78DB" w14:textId="77777777" w:rsidR="00864B8A" w:rsidRDefault="0012031E">
      <w:pPr>
        <w:keepNext/>
        <w:spacing w:before="160" w:after="40"/>
      </w:pPr>
      <w:r>
        <w:rPr>
          <w:b/>
          <w:color w:val="000000"/>
          <w:sz w:val="28"/>
        </w:rPr>
        <w:t>1. Introduction</w:t>
      </w:r>
    </w:p>
    <w:p w14:paraId="58325B00" w14:textId="77777777" w:rsidR="00864B8A" w:rsidRDefault="0012031E">
      <w:r>
        <w:t>Equity research has become a problem of integration rather than data scarcity. A buy-side analyst evaluating a stock today has access to fundamental ratios, market-microstructure data, transcripts, news, and analyst reports, but each source lives in a separate terminal and the analyst must stitch them together to notice when the numbers and the narrative disagree. Our dashboard performs that integration in seconds. Given a U.S. equity ticker, it returns returns a composite quantitative score across five aca</w:t>
      </w:r>
      <w:r>
        <w:t>demically validated signals, three sentiment metrics extracted from the most recent six earnings calls, and a Claude-generated synthesis that frames the long and short cases and explicitly flags divergences between fundamentals and executive language. The motivating insight is that a stock can look fundamentally healthy while management tone is quietly deteriorating, and vice versa; surfacing that mismatch is where a language model adds value over either signal alone.</w:t>
      </w:r>
    </w:p>
    <w:p w14:paraId="1ED9E924" w14:textId="77777777" w:rsidR="00864B8A" w:rsidRDefault="0012031E">
      <w:r>
        <w:t>Section 2 clarifies the data sources. Section 3 details the five quantitative signals, composite-score construction, and sentiment pipeline. Section 4 documents the Claude prompt architecture. Section 5 walks through results for three example tickers. Section 6 reports a backtest of the composite signal. Section 7 discusses limitations and future work.</w:t>
      </w:r>
    </w:p>
    <w:p w14:paraId="28D1D143" w14:textId="77777777" w:rsidR="00864B8A" w:rsidRDefault="0012031E">
      <w:pPr>
        <w:keepNext/>
        <w:spacing w:before="160" w:after="40"/>
      </w:pPr>
      <w:r>
        <w:rPr>
          <w:b/>
          <w:color w:val="000000"/>
          <w:sz w:val="28"/>
        </w:rPr>
        <w:lastRenderedPageBreak/>
        <w:t>2. Data Sources</w:t>
      </w:r>
    </w:p>
    <w:p w14:paraId="1455C040" w14:textId="77777777" w:rsidR="00864B8A" w:rsidRDefault="0012031E">
      <w:r>
        <w:t>The dashboard combines two distinct data ecosystems, separated explicitly here because the distinction was raised in feedback after our presentation. All fundamental and market data comes from Wharton Research Data Services (WRDS) — specifically the Compustat Fundamentals Quarterly file for income-statement, balance-sheet, and cash-flow fields, and the CRSP Monthly Stock file for total returns, prices, and shares outstanding. Compustat firms are joined to CRSP via PERMNO. The merged universe contains 33,675</w:t>
      </w:r>
      <w:r>
        <w:t xml:space="preserve"> U.S. common shares with non-trivial financial data through December 31, 2024.</w:t>
      </w:r>
    </w:p>
    <w:p w14:paraId="38BD009C" w14:textId="77777777" w:rsidR="00864B8A" w:rsidRDefault="0012031E">
      <w:r>
        <w:t>Because WRDS requires manual two-factor authentication on every pull, the dashboard is not a live-data tool. All five quantitative signals are pre-computed once and written to data/quant_metrics.parquet (33,675 rows, 49 columns), then read on demand. The data vintage is December 31, 2024; the dashboard surfaces this date so a viewer is never confused about staleness, and we treat it as an acknowledged limitation rather than an attempt to misrepresent freshness.</w:t>
      </w:r>
    </w:p>
    <w:p w14:paraId="45CD44B3" w14:textId="77777777" w:rsidR="00864B8A" w:rsidRDefault="0012031E">
      <w:r>
        <w:t>Earnings call transcripts do not come from WRDS. We initially built an SEC EDGAR 8-K parser, but 8-K filings rarely contain transcripts in a clean, structured format and parsing reliability was low. After the pitch we switched to scraping fool.com transcript pages, which publish formatted prepared-remarks-and-Q&amp;A versions of most large- and mid-cap calls within days of the call. Motley Fool transcripts are already editorial text, so the dashboard performs no speech-to-text or audio processing — the pipeline</w:t>
      </w:r>
      <w:r>
        <w:t xml:space="preserve"> operates entirely on pre-transcribed text. The fetcher in sentiment/fetch_motley_fool.py resolves a ticker to its transcript index and walks the most recent six quarters. Recent transcripts are sometimes paywalled; the fetcher detects paywall pages and returns no data for that quarter rather than scoring noise. The dashboard masks any cached all-zero sentiment readings (the historical paywall fingerprint) to N/A and re-attempts a live fetch on each load.</w:t>
      </w:r>
    </w:p>
    <w:p w14:paraId="6ED173AC" w14:textId="77777777" w:rsidR="00864B8A" w:rsidRDefault="0012031E">
      <w:pPr>
        <w:keepNext/>
        <w:spacing w:before="160" w:after="40"/>
      </w:pPr>
      <w:r>
        <w:rPr>
          <w:b/>
          <w:color w:val="000000"/>
          <w:sz w:val="28"/>
        </w:rPr>
        <w:t>3. Methodology — Quantitative Signals</w:t>
      </w:r>
    </w:p>
    <w:p w14:paraId="744F75DB" w14:textId="77777777" w:rsidR="00864B8A" w:rsidRDefault="0012031E">
      <w:pPr>
        <w:keepNext/>
        <w:spacing w:before="80" w:after="40"/>
      </w:pPr>
      <w:r>
        <w:rPr>
          <w:b/>
          <w:color w:val="000000"/>
          <w:sz w:val="24"/>
        </w:rPr>
        <w:t>3.1 Signal selection rationale</w:t>
      </w:r>
    </w:p>
    <w:p w14:paraId="276953D0" w14:textId="77777777" w:rsidR="00864B8A" w:rsidRDefault="0012031E">
      <w:r>
        <w:t>We choose five signals that are well-established in the academic literature, span complementary economic dimensions (profitability, earnings quality, valuation, and price behavior), and are computable from Compustat and CRSP data. Each has a peer-reviewed paper documenting cross-sectional return predictability. The composite is intentionally simple — equal weights — so that the strength of any individual signal is transparent and the overall score has no free parameters fit to the in-sample data.</w:t>
      </w:r>
    </w:p>
    <w:p w14:paraId="0EC112C8" w14:textId="77777777" w:rsidR="00864B8A" w:rsidRDefault="0012031E">
      <w:pPr>
        <w:pStyle w:val="ListBullet"/>
        <w:spacing w:after="40"/>
      </w:pPr>
      <w:r>
        <w:lastRenderedPageBreak/>
        <w:t>Piotroski F-Score — Piotroski (2000) defines nine binary tests of profitability, leverage, and operating efficiency, summed into a 0–9 fundamental quality score.</w:t>
      </w:r>
    </w:p>
    <w:p w14:paraId="1FFA2952" w14:textId="77777777" w:rsidR="00864B8A" w:rsidRDefault="0012031E">
      <w:pPr>
        <w:pStyle w:val="ListBullet"/>
        <w:spacing w:after="40"/>
      </w:pPr>
      <w:r>
        <w:t>Gross Profitability — Novy-Marx (2013) shows that gross profits scaled by assets is a clean measure of productive efficiency and earns a return premium distinct from book-to-market.</w:t>
      </w:r>
    </w:p>
    <w:p w14:paraId="5B0FFE23" w14:textId="77777777" w:rsidR="00864B8A" w:rsidRDefault="0012031E">
      <w:pPr>
        <w:pStyle w:val="ListBullet"/>
        <w:spacing w:after="40"/>
      </w:pPr>
      <w:r>
        <w:t>Accruals Ratio — Sloan (1996) separates cash earnings from accounting earnings and shows that high-accruals firms systematically underperform.</w:t>
      </w:r>
    </w:p>
    <w:p w14:paraId="0F956C45" w14:textId="77777777" w:rsidR="00864B8A" w:rsidRDefault="0012031E">
      <w:pPr>
        <w:pStyle w:val="ListBullet"/>
        <w:spacing w:after="40"/>
      </w:pPr>
      <w:r>
        <w:t>Valuation — EV/EBITDA (capital-structure-neutral) and P/E ratios, both with long-standing use in fundamental equity valuation.</w:t>
      </w:r>
    </w:p>
    <w:p w14:paraId="72674797" w14:textId="77777777" w:rsidR="00864B8A" w:rsidRDefault="0012031E">
      <w:pPr>
        <w:pStyle w:val="ListBullet"/>
        <w:spacing w:after="40"/>
      </w:pPr>
      <w:r>
        <w:t>12-1 Month Momentum — Jegadeesh and Titman (1993) and Carhart (1997) document a robust return-continuation premium; we use cumulative return from t−12 to t−2 with a one-month skip to avoid short-term reversal.</w:t>
      </w:r>
    </w:p>
    <w:p w14:paraId="7F32525B" w14:textId="77777777" w:rsidR="00864B8A" w:rsidRDefault="0012031E">
      <w:pPr>
        <w:keepNext/>
        <w:spacing w:before="80" w:after="40"/>
      </w:pPr>
      <w:r>
        <w:rPr>
          <w:b/>
          <w:color w:val="000000"/>
          <w:sz w:val="24"/>
        </w:rPr>
        <w:t>3.2 Compustat fields and signal formulas</w:t>
      </w:r>
    </w:p>
    <w:p w14:paraId="488E597B" w14:textId="77777777" w:rsidR="00864B8A" w:rsidRDefault="0012031E">
      <w:r>
        <w:t xml:space="preserve">Each signal is computed in a dedicated module in signals/. Annual flow variables (net income iby, sales saley, COGS cogsy, operating cash flow oancfy, EBITDA oibdpy) are taken from the fiscal year-end (fqtr=4) row, where Compustat's YTD-cumulative fields represent the full year. Balance-sheet items (atq, dlttq, actq, lctq, cshoq, mkvaltq, cheq) are point-in-time at the same fiscal year-end. The Piotroski F-Score sums nine binary tests: positive ROA (iby/atq), positive CFO, ΔROA &gt; 0, CFO/atq &gt; iby/atq (cash </w:t>
      </w:r>
      <w:r>
        <w:t>earnings quality), declining long-term-debt ratio, improving current ratio, no new equity issuance, improving gross margin ((saley − cogsy)/saley), and improving asset turnover (saley/atq). Gross Profitability is (saley − cogsy)/atq. The accruals ratio is (iby − oancfy)/atq, where positive values indicate earnings outpacing cash flow. EV/EBITDA uses EV = mkvaltq + dlttq + dlcq − cheq. P/E uses mkvaltq / iby. Momentum sums log-returns from t−12 to t−2 within each PERMNO, then exponentiates back; the reversal</w:t>
      </w:r>
      <w:r>
        <w:t xml:space="preserve"> flag fires when the prior-month return is in the universe's bottom decile.</w:t>
      </w:r>
    </w:p>
    <w:p w14:paraId="180B973B" w14:textId="77777777" w:rsidR="00864B8A" w:rsidRDefault="0012031E">
      <w:pPr>
        <w:keepNext/>
        <w:spacing w:before="80" w:after="40"/>
      </w:pPr>
      <w:r>
        <w:rPr>
          <w:b/>
          <w:color w:val="000000"/>
          <w:sz w:val="24"/>
        </w:rPr>
        <w:t>3.3 Composite score construction</w:t>
      </w:r>
    </w:p>
    <w:p w14:paraId="0FB57A38" w14:textId="77777777" w:rsidR="00864B8A" w:rsidRDefault="0012031E">
      <w:r>
        <w:t>Each signal is converted to a 0–100 percentile rank across the universe, with two direction adjustments so higher always means better: accruals percentiles are inverted (lower accruals = higher quality), and valuation percentiles are inverted and averaged across whichever of EV/EBITDA and P/E are available (cheaper = higher value rank). The composite score is the equal-weighted mean of the five direction-corrected percentiles. We require at least three of five signals to be present before assigning a compos</w:t>
      </w:r>
      <w:r>
        <w:t xml:space="preserve">ite, preventing tiny-cap firms with sparse Compustat coverage from receiving misleading scores. The dashboard reports both composite_score (0–100) and its cross-sectional percentile rank </w:t>
      </w:r>
      <w:r>
        <w:lastRenderedPageBreak/>
        <w:t>(composite_pct). Equal weighting is deliberate: any optimised weighting would be in-sample to the same data used to construct the signals, while equal weights have no free parameters.</w:t>
      </w:r>
    </w:p>
    <w:p w14:paraId="401E6A45" w14:textId="77777777" w:rsidR="00864B8A" w:rsidRDefault="0012031E">
      <w:pPr>
        <w:keepNext/>
        <w:spacing w:before="80" w:after="40"/>
      </w:pPr>
      <w:r>
        <w:rPr>
          <w:b/>
          <w:color w:val="000000"/>
          <w:sz w:val="24"/>
        </w:rPr>
        <w:t>3.4 Earnings call sentiment pipeline</w:t>
      </w:r>
    </w:p>
    <w:p w14:paraId="69DFAE2F" w14:textId="77777777" w:rsidR="00864B8A" w:rsidRDefault="0012031E">
      <w:r>
        <w:t>The sentiment pipeline runs in three stages: fetch, parse, score. parse_transcripts.py splits each transcript into prepared remarks and Q&amp;A, identifies speaker turns, and classifies each as executive, analyst, or operator. Only executive turns are retained for scoring; analyst questions are discarded so the sentiment captures management's own language. score.py computes three measures: Tone is VADER's compound sentiment averaged across sentences and bounded in [−1, +1] (sentence-level averaging avoids the s</w:t>
      </w:r>
      <w:r>
        <w:t>aturation that VADER exhibits on long texts). Hedging is the fraction of management words appearing in the Loughran and McDonald (2011) financial uncertainty word list — a 297-word vocabulary validated on 10-K and earnings text. Confidence is a forward-looking-sentence ratio penalised by hedging: confidence = FL_ratio × (1 − 0.5 × hedging), where FL_ratio is the share of sentences containing at least one of 32 forward-looking keywords (expect, anticipate, guidance, will, etc.). Quarter-over-quarter deltas a</w:t>
      </w:r>
      <w:r>
        <w:t>nd trend labels (improving, stable, declining) feed directly into the Claude prompt so the language model reasons about trajectory rather than only the latest reading.</w:t>
      </w:r>
    </w:p>
    <w:p w14:paraId="452A281A" w14:textId="77777777" w:rsidR="00864B8A" w:rsidRDefault="0012031E">
      <w:pPr>
        <w:keepNext/>
        <w:spacing w:before="160" w:after="40"/>
      </w:pPr>
      <w:r>
        <w:rPr>
          <w:b/>
          <w:color w:val="000000"/>
          <w:sz w:val="28"/>
        </w:rPr>
        <w:t>4. AI Synthesis Layer</w:t>
      </w:r>
    </w:p>
    <w:p w14:paraId="7D513DEA" w14:textId="77777777" w:rsidR="00864B8A" w:rsidRDefault="0012031E">
      <w:pPr>
        <w:keepNext/>
        <w:spacing w:before="80" w:after="40"/>
      </w:pPr>
      <w:r>
        <w:rPr>
          <w:b/>
          <w:color w:val="000000"/>
          <w:sz w:val="24"/>
        </w:rPr>
        <w:t>4.1 Architecture and model choice</w:t>
      </w:r>
    </w:p>
    <w:p w14:paraId="30C13D5C" w14:textId="77777777" w:rsidR="00864B8A" w:rsidRDefault="0012031E">
      <w:r>
        <w:t xml:space="preserve">The synthesis layer (ai/synthesize.py) sends a single completion request per ticker to Anthropic's claude-sonnet-4-6 model, chosen over Opus for the latency and cost profile appropriate to an interactive dashboard and over Haiku because the task requires reasoning over structured numeric data and prose rather than pure classification. Output tokens are capped at 1,024 with a 60-second client timeout, and errors return a graceful fallback so the dashboard never hard-crashes on an API failure. Prompt caching </w:t>
      </w:r>
      <w:r>
        <w:t>is enabled on the system block via cache_control: ephemeral; the system prompt is identical across ticker requests and is therefore billed once per five-minute cache window rather than once per ticker. Output is constrained to a JSON object with five keys: bull (2–3 sentences), bear (2–3 sentences), risks (a list of strings), divergence_flag (boolean), and divergence_note. Divergence is defined as quant signals and sentiment pointing in clearly opposite directions — strong fundamentals with cautious tone, o</w:t>
      </w:r>
      <w:r>
        <w:t>r weak fundamentals with highly optimistic language.</w:t>
      </w:r>
    </w:p>
    <w:p w14:paraId="005BB5F0" w14:textId="77777777" w:rsidR="00864B8A" w:rsidRDefault="0012031E">
      <w:pPr>
        <w:keepNext/>
        <w:spacing w:before="80" w:after="40"/>
      </w:pPr>
      <w:r>
        <w:rPr>
          <w:b/>
          <w:color w:val="000000"/>
          <w:sz w:val="24"/>
        </w:rPr>
        <w:lastRenderedPageBreak/>
        <w:t>4.2 System prompt</w:t>
      </w:r>
    </w:p>
    <w:p w14:paraId="595F5E8D" w14:textId="77777777" w:rsidR="00864B8A" w:rsidRDefault="0012031E">
      <w:r>
        <w:t>Figure 1 shows the key excerpts of the system prompt loaded from ai/prompt_template.py. The full prompt enumerates each of the five quant signals and the three sentiment measures with the same definitions used in Section 3, then constrains the model's output to the JSON schema shown.</w:t>
      </w:r>
    </w:p>
    <w:p w14:paraId="3ABB2110" w14:textId="77777777" w:rsidR="00864B8A" w:rsidRDefault="0012031E">
      <w:pPr>
        <w:spacing w:before="80" w:line="276" w:lineRule="auto"/>
        <w:jc w:val="center"/>
      </w:pPr>
      <w:r>
        <w:rPr>
          <w:b/>
        </w:rPr>
        <w:t>Figure 1: Excerpts from the Claude system prompt</w:t>
      </w:r>
      <w:r>
        <w:rPr>
          <w:b/>
        </w:rPr>
        <w:br/>
      </w:r>
      <w:r>
        <w:rPr>
          <w:i/>
          <w:sz w:val="20"/>
        </w:rPr>
        <w:t>Top: analyst-persona definition. Middle (in square brackets): elision marker for the signal-definition block, which enumerates the same five quant signals and three sentiment measures defined in Section 3. Bottom: required JSON output schema with five fixed keys (bull, bear, risks, divergence_flag, divergence_note) and the explicit divergence rule. The prompt is sent to claude-sonnet-4-6 with cache_control: ephemeral on the system block so the cached system text is billed once per five-minute window rather</w:t>
      </w:r>
      <w:r>
        <w:rPr>
          <w:i/>
          <w:sz w:val="20"/>
        </w:rPr>
        <w:t xml:space="preserve"> than once per ticker.</w:t>
      </w:r>
    </w:p>
    <w:tbl>
      <w:tblPr>
        <w:tblW w:w="0" w:type="auto"/>
        <w:tblLayout w:type="fixed"/>
        <w:tblLook w:val="04A0" w:firstRow="1" w:lastRow="0" w:firstColumn="1" w:lastColumn="0" w:noHBand="0" w:noVBand="1"/>
      </w:tblPr>
      <w:tblGrid>
        <w:gridCol w:w="9360"/>
      </w:tblGrid>
      <w:tr w:rsidR="00864B8A" w14:paraId="766A4DB0" w14:textId="77777777">
        <w:tc>
          <w:tcPr>
            <w:tcW w:w="93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7F042DF" w14:textId="77777777" w:rsidR="00864B8A" w:rsidRDefault="0012031E">
            <w:pPr>
              <w:spacing w:after="0" w:line="240" w:lineRule="auto"/>
            </w:pPr>
            <w:r>
              <w:rPr>
                <w:rFonts w:ascii="Consolas" w:hAnsi="Consolas"/>
                <w:sz w:val="18"/>
              </w:rPr>
              <w:t>You are a quantitative equity research analyst. Given structured data on a stock's quant signals and earnings call sentiment, you produce a concise bull/bear synthesis.</w:t>
            </w:r>
          </w:p>
          <w:p w14:paraId="1742399C" w14:textId="77777777" w:rsidR="00864B8A" w:rsidRDefault="0012031E">
            <w:pPr>
              <w:spacing w:after="0" w:line="240" w:lineRule="auto"/>
            </w:pPr>
            <w:r>
              <w:rPr>
                <w:rFonts w:ascii="Consolas" w:hAnsi="Consolas"/>
                <w:sz w:val="18"/>
              </w:rPr>
              <w:t xml:space="preserve"> </w:t>
            </w:r>
          </w:p>
          <w:p w14:paraId="62A8CBEB" w14:textId="77777777" w:rsidR="00864B8A" w:rsidRDefault="0012031E">
            <w:pPr>
              <w:spacing w:after="0" w:line="240" w:lineRule="auto"/>
            </w:pPr>
            <w:r>
              <w:rPr>
                <w:rFonts w:ascii="Consolas" w:hAnsi="Consolas"/>
                <w:sz w:val="18"/>
              </w:rPr>
              <w:t>[Signal definitions for F-Score, Gross Profitability, Accruals, Valuation, Momentum, and the three sentiment scores — full text in ai/prompt_template.py.]</w:t>
            </w:r>
          </w:p>
          <w:p w14:paraId="00A3E3B2" w14:textId="77777777" w:rsidR="00864B8A" w:rsidRDefault="0012031E">
            <w:pPr>
              <w:spacing w:after="0" w:line="240" w:lineRule="auto"/>
            </w:pPr>
            <w:r>
              <w:rPr>
                <w:rFonts w:ascii="Consolas" w:hAnsi="Consolas"/>
                <w:sz w:val="18"/>
              </w:rPr>
              <w:t xml:space="preserve"> </w:t>
            </w:r>
          </w:p>
          <w:p w14:paraId="2A62D7AA" w14:textId="77777777" w:rsidR="00864B8A" w:rsidRDefault="0012031E">
            <w:pPr>
              <w:spacing w:after="0" w:line="240" w:lineRule="auto"/>
            </w:pPr>
            <w:r>
              <w:rPr>
                <w:rFonts w:ascii="Consolas" w:hAnsi="Consolas"/>
                <w:sz w:val="18"/>
              </w:rPr>
              <w:t>Respond with ONLY a JSON object:</w:t>
            </w:r>
          </w:p>
          <w:p w14:paraId="2CF870D9" w14:textId="77777777" w:rsidR="00864B8A" w:rsidRDefault="0012031E">
            <w:pPr>
              <w:spacing w:after="0" w:line="240" w:lineRule="auto"/>
            </w:pPr>
            <w:r>
              <w:rPr>
                <w:rFonts w:ascii="Consolas" w:hAnsi="Consolas"/>
                <w:sz w:val="18"/>
              </w:rPr>
              <w:t>{</w:t>
            </w:r>
          </w:p>
          <w:p w14:paraId="520DFCE0" w14:textId="77777777" w:rsidR="00864B8A" w:rsidRDefault="0012031E">
            <w:pPr>
              <w:spacing w:after="0" w:line="240" w:lineRule="auto"/>
            </w:pPr>
            <w:r>
              <w:rPr>
                <w:rFonts w:ascii="Consolas" w:hAnsi="Consolas"/>
                <w:sz w:val="18"/>
              </w:rPr>
              <w:t xml:space="preserve">  "bull":  "&lt;2-3 sentences&gt;",</w:t>
            </w:r>
          </w:p>
          <w:p w14:paraId="7DAAFCDE" w14:textId="77777777" w:rsidR="00864B8A" w:rsidRDefault="0012031E">
            <w:pPr>
              <w:spacing w:after="0" w:line="240" w:lineRule="auto"/>
            </w:pPr>
            <w:r>
              <w:rPr>
                <w:rFonts w:ascii="Consolas" w:hAnsi="Consolas"/>
                <w:sz w:val="18"/>
              </w:rPr>
              <w:t xml:space="preserve">  "bear":  "&lt;2-3 sentences&gt;",</w:t>
            </w:r>
          </w:p>
          <w:p w14:paraId="23B3D0ED" w14:textId="77777777" w:rsidR="00864B8A" w:rsidRDefault="0012031E">
            <w:pPr>
              <w:spacing w:after="0" w:line="240" w:lineRule="auto"/>
            </w:pPr>
            <w:r>
              <w:rPr>
                <w:rFonts w:ascii="Consolas" w:hAnsi="Consolas"/>
                <w:sz w:val="18"/>
              </w:rPr>
              <w:t xml:space="preserve">  "risks": ["&lt;risk 1&gt;", "&lt;risk 2&gt;", "&lt;risk 3&gt;"],</w:t>
            </w:r>
          </w:p>
          <w:p w14:paraId="4462ECBD" w14:textId="77777777" w:rsidR="00864B8A" w:rsidRDefault="0012031E">
            <w:pPr>
              <w:spacing w:after="0" w:line="240" w:lineRule="auto"/>
            </w:pPr>
            <w:r>
              <w:rPr>
                <w:rFonts w:ascii="Consolas" w:hAnsi="Consolas"/>
                <w:sz w:val="18"/>
              </w:rPr>
              <w:t xml:space="preserve">  "divergence_flag": true | false,</w:t>
            </w:r>
          </w:p>
          <w:p w14:paraId="2220E3EE" w14:textId="77777777" w:rsidR="00864B8A" w:rsidRDefault="0012031E">
            <w:pPr>
              <w:spacing w:after="0" w:line="240" w:lineRule="auto"/>
            </w:pPr>
            <w:r>
              <w:rPr>
                <w:rFonts w:ascii="Consolas" w:hAnsi="Consolas"/>
                <w:sz w:val="18"/>
              </w:rPr>
              <w:t xml:space="preserve">  "divergence_note": "&lt;one sentence, or empty if no divergence&gt;"</w:t>
            </w:r>
          </w:p>
          <w:p w14:paraId="62D4F00F" w14:textId="77777777" w:rsidR="00864B8A" w:rsidRDefault="0012031E">
            <w:pPr>
              <w:spacing w:after="0" w:line="240" w:lineRule="auto"/>
            </w:pPr>
            <w:r>
              <w:rPr>
                <w:rFonts w:ascii="Consolas" w:hAnsi="Consolas"/>
                <w:sz w:val="18"/>
              </w:rPr>
              <w:t>}</w:t>
            </w:r>
          </w:p>
          <w:p w14:paraId="1E0A5E0C" w14:textId="77777777" w:rsidR="00864B8A" w:rsidRDefault="0012031E">
            <w:pPr>
              <w:spacing w:after="0" w:line="240" w:lineRule="auto"/>
            </w:pPr>
            <w:r>
              <w:rPr>
                <w:rFonts w:ascii="Consolas" w:hAnsi="Consolas"/>
                <w:sz w:val="18"/>
              </w:rPr>
              <w:t xml:space="preserve"> </w:t>
            </w:r>
          </w:p>
          <w:p w14:paraId="0EC6A9BC" w14:textId="77777777" w:rsidR="00864B8A" w:rsidRDefault="0012031E">
            <w:pPr>
              <w:spacing w:after="0" w:line="240" w:lineRule="auto"/>
            </w:pPr>
            <w:r>
              <w:rPr>
                <w:rFonts w:ascii="Consolas" w:hAnsi="Consolas"/>
                <w:sz w:val="18"/>
              </w:rPr>
              <w:t>Divergence = quant signals and sentiment clearly point in opposite directions. Only flag true divergences. Keep the output concise and grounded in the numbers provided. Do not make up data.</w:t>
            </w:r>
          </w:p>
        </w:tc>
      </w:tr>
    </w:tbl>
    <w:p w14:paraId="67334236" w14:textId="77777777" w:rsidR="00864B8A" w:rsidRDefault="0012031E">
      <w:r>
        <w:t xml:space="preserve">The per-ticker user message (build_user_message in ai/prompt_template.py) follows a structured-data layout: company name and sector, composite score and percentile, F-Score with all nine pass/fail components, gross profitability with universe and sector ranks, accruals ratio and quality rank, EV/EBITDA and P/E with universe ranks, 12-1 momentum with reversal flag, and up to six quarters of sentiment scores with QoQ deltas and trend labels. Missing values render as N/A so the model can reason about coverage </w:t>
      </w:r>
      <w:r>
        <w:t>gaps explicitly.</w:t>
      </w:r>
    </w:p>
    <w:p w14:paraId="347FF366" w14:textId="77777777" w:rsidR="00864B8A" w:rsidRDefault="0012031E">
      <w:pPr>
        <w:keepNext/>
        <w:spacing w:before="160" w:after="40"/>
      </w:pPr>
      <w:r>
        <w:rPr>
          <w:b/>
          <w:color w:val="000000"/>
          <w:sz w:val="28"/>
        </w:rPr>
        <w:t>5. Results</w:t>
      </w:r>
    </w:p>
    <w:p w14:paraId="2BA96B78" w14:textId="77777777" w:rsidR="00864B8A" w:rsidRDefault="0012031E">
      <w:r>
        <w:t>We illustrate the dashboard with three tickers chosen to span different fundamental and sentiment profiles: Apple (AAPL), Microsoft (MSFT), and Harley-Davidson (HOG). Quantitative scores below reflect the December 31, 2024 data vintage and percentile ranks vs. the 33,675-name universe. Sentiment scores reflect the most recent six earnings calls available on Motley Fool as of late April 2026.</w:t>
      </w:r>
    </w:p>
    <w:p w14:paraId="1D8CA526" w14:textId="77777777" w:rsidR="00864B8A" w:rsidRDefault="0012031E">
      <w:pPr>
        <w:spacing w:before="160" w:after="40" w:line="276" w:lineRule="auto"/>
        <w:jc w:val="center"/>
      </w:pPr>
      <w:r>
        <w:rPr>
          <w:b/>
        </w:rPr>
        <w:lastRenderedPageBreak/>
        <w:t>Table 1: Composite quantitative scores for the three example tickers</w:t>
      </w:r>
      <w:r>
        <w:rPr>
          <w:b/>
        </w:rPr>
        <w:br/>
      </w:r>
      <w:r>
        <w:rPr>
          <w:i/>
          <w:sz w:val="20"/>
        </w:rPr>
        <w:t>Composite score is the equal-weighted mean of five direction-corrected percentile ranks (F-Score, Gross Profitability, Accruals Quality, Valuation, Momentum), each on a 0–100 scale where higher is more favourable. Composite percentile is the cross-sectional rank of the composite score among the 23,000+ tickers with three or more available signals. EV/EBITDA percentile reports the raw expensiveness rank where higher means more expensive; Value percentile inverts and averages EV/EBITDA and P/E so that higher</w:t>
      </w:r>
      <w:r>
        <w:rPr>
          <w:i/>
          <w:sz w:val="20"/>
        </w:rPr>
        <w:t xml:space="preserve"> means cheaper.</w:t>
      </w:r>
    </w:p>
    <w:tbl>
      <w:tblPr>
        <w:tblStyle w:val="LightGrid-Accent1"/>
        <w:tblW w:w="0" w:type="auto"/>
        <w:tblLook w:val="04A0" w:firstRow="1" w:lastRow="0" w:firstColumn="1" w:lastColumn="0" w:noHBand="0" w:noVBand="1"/>
      </w:tblPr>
      <w:tblGrid>
        <w:gridCol w:w="2340"/>
        <w:gridCol w:w="2340"/>
        <w:gridCol w:w="2340"/>
        <w:gridCol w:w="2340"/>
      </w:tblGrid>
      <w:tr w:rsidR="00864B8A" w14:paraId="2E1532DB" w14:textId="77777777" w:rsidTr="00864B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A87261" w14:textId="77777777" w:rsidR="00864B8A" w:rsidRDefault="00864B8A">
            <w:pPr>
              <w:spacing w:after="0" w:line="240" w:lineRule="auto"/>
            </w:pPr>
          </w:p>
        </w:tc>
        <w:tc>
          <w:tcPr>
            <w:tcW w:w="2340" w:type="dxa"/>
          </w:tcPr>
          <w:p w14:paraId="5438C954" w14:textId="77777777" w:rsidR="00864B8A" w:rsidRDefault="0012031E">
            <w:pPr>
              <w:spacing w:after="0" w:line="240" w:lineRule="auto"/>
              <w:cnfStyle w:val="100000000000" w:firstRow="1" w:lastRow="0" w:firstColumn="0" w:lastColumn="0" w:oddVBand="0" w:evenVBand="0" w:oddHBand="0" w:evenHBand="0" w:firstRowFirstColumn="0" w:firstRowLastColumn="0" w:lastRowFirstColumn="0" w:lastRowLastColumn="0"/>
            </w:pPr>
            <w:r>
              <w:rPr>
                <w:sz w:val="20"/>
              </w:rPr>
              <w:t>AAPL</w:t>
            </w:r>
          </w:p>
        </w:tc>
        <w:tc>
          <w:tcPr>
            <w:tcW w:w="2340" w:type="dxa"/>
          </w:tcPr>
          <w:p w14:paraId="21909068" w14:textId="77777777" w:rsidR="00864B8A" w:rsidRDefault="0012031E">
            <w:pPr>
              <w:spacing w:after="0" w:line="240" w:lineRule="auto"/>
              <w:cnfStyle w:val="100000000000" w:firstRow="1" w:lastRow="0" w:firstColumn="0" w:lastColumn="0" w:oddVBand="0" w:evenVBand="0" w:oddHBand="0" w:evenHBand="0" w:firstRowFirstColumn="0" w:firstRowLastColumn="0" w:lastRowFirstColumn="0" w:lastRowLastColumn="0"/>
            </w:pPr>
            <w:r>
              <w:rPr>
                <w:sz w:val="20"/>
              </w:rPr>
              <w:t>MSFT</w:t>
            </w:r>
          </w:p>
        </w:tc>
        <w:tc>
          <w:tcPr>
            <w:tcW w:w="2340" w:type="dxa"/>
          </w:tcPr>
          <w:p w14:paraId="4200A70B" w14:textId="77777777" w:rsidR="00864B8A" w:rsidRDefault="0012031E">
            <w:pPr>
              <w:spacing w:after="0" w:line="240" w:lineRule="auto"/>
              <w:cnfStyle w:val="100000000000" w:firstRow="1" w:lastRow="0" w:firstColumn="0" w:lastColumn="0" w:oddVBand="0" w:evenVBand="0" w:oddHBand="0" w:evenHBand="0" w:firstRowFirstColumn="0" w:firstRowLastColumn="0" w:lastRowFirstColumn="0" w:lastRowLastColumn="0"/>
            </w:pPr>
            <w:r>
              <w:rPr>
                <w:sz w:val="20"/>
              </w:rPr>
              <w:t>HOG</w:t>
            </w:r>
          </w:p>
        </w:tc>
      </w:tr>
      <w:tr w:rsidR="00864B8A" w14:paraId="489BBC43" w14:textId="77777777" w:rsidTr="0086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4CB793" w14:textId="77777777" w:rsidR="00864B8A" w:rsidRDefault="0012031E">
            <w:pPr>
              <w:spacing w:after="0" w:line="240" w:lineRule="auto"/>
            </w:pPr>
            <w:r>
              <w:rPr>
                <w:sz w:val="20"/>
              </w:rPr>
              <w:t>Sector</w:t>
            </w:r>
          </w:p>
        </w:tc>
        <w:tc>
          <w:tcPr>
            <w:tcW w:w="2340" w:type="dxa"/>
          </w:tcPr>
          <w:p w14:paraId="602B6F32"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Manufacturing</w:t>
            </w:r>
          </w:p>
        </w:tc>
        <w:tc>
          <w:tcPr>
            <w:tcW w:w="2340" w:type="dxa"/>
          </w:tcPr>
          <w:p w14:paraId="7D55C779"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Services</w:t>
            </w:r>
          </w:p>
        </w:tc>
        <w:tc>
          <w:tcPr>
            <w:tcW w:w="2340" w:type="dxa"/>
          </w:tcPr>
          <w:p w14:paraId="5ED265E4"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Manufacturing</w:t>
            </w:r>
          </w:p>
        </w:tc>
      </w:tr>
      <w:tr w:rsidR="00864B8A" w14:paraId="374DB815" w14:textId="77777777" w:rsidTr="00864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992276A" w14:textId="77777777" w:rsidR="00864B8A" w:rsidRDefault="0012031E">
            <w:pPr>
              <w:spacing w:after="0" w:line="240" w:lineRule="auto"/>
            </w:pPr>
            <w:r>
              <w:rPr>
                <w:sz w:val="20"/>
              </w:rPr>
              <w:t>Composite score (0–100)</w:t>
            </w:r>
          </w:p>
        </w:tc>
        <w:tc>
          <w:tcPr>
            <w:tcW w:w="2340" w:type="dxa"/>
          </w:tcPr>
          <w:p w14:paraId="16FED584"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57.8</w:t>
            </w:r>
          </w:p>
        </w:tc>
        <w:tc>
          <w:tcPr>
            <w:tcW w:w="2340" w:type="dxa"/>
          </w:tcPr>
          <w:p w14:paraId="4951F1C8"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50.9</w:t>
            </w:r>
          </w:p>
        </w:tc>
        <w:tc>
          <w:tcPr>
            <w:tcW w:w="2340" w:type="dxa"/>
          </w:tcPr>
          <w:p w14:paraId="67B574C6"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55.6</w:t>
            </w:r>
          </w:p>
        </w:tc>
      </w:tr>
      <w:tr w:rsidR="00864B8A" w14:paraId="0620B784" w14:textId="77777777" w:rsidTr="0086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B9BC38A" w14:textId="77777777" w:rsidR="00864B8A" w:rsidRDefault="0012031E">
            <w:pPr>
              <w:spacing w:after="0" w:line="240" w:lineRule="auto"/>
            </w:pPr>
            <w:r>
              <w:rPr>
                <w:sz w:val="20"/>
              </w:rPr>
              <w:t>Composite percentile</w:t>
            </w:r>
          </w:p>
        </w:tc>
        <w:tc>
          <w:tcPr>
            <w:tcW w:w="2340" w:type="dxa"/>
          </w:tcPr>
          <w:p w14:paraId="61A94AAA"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73</w:t>
            </w:r>
          </w:p>
        </w:tc>
        <w:tc>
          <w:tcPr>
            <w:tcW w:w="2340" w:type="dxa"/>
          </w:tcPr>
          <w:p w14:paraId="36A24B2D"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57</w:t>
            </w:r>
          </w:p>
        </w:tc>
        <w:tc>
          <w:tcPr>
            <w:tcW w:w="2340" w:type="dxa"/>
          </w:tcPr>
          <w:p w14:paraId="0B2ADB03"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68</w:t>
            </w:r>
          </w:p>
        </w:tc>
      </w:tr>
      <w:tr w:rsidR="00864B8A" w14:paraId="22EB53D0" w14:textId="77777777" w:rsidTr="00864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2D09FD" w14:textId="77777777" w:rsidR="00864B8A" w:rsidRDefault="0012031E">
            <w:pPr>
              <w:spacing w:after="0" w:line="240" w:lineRule="auto"/>
            </w:pPr>
            <w:r>
              <w:rPr>
                <w:sz w:val="20"/>
              </w:rPr>
              <w:t>F-Score (0–9)</w:t>
            </w:r>
          </w:p>
        </w:tc>
        <w:tc>
          <w:tcPr>
            <w:tcW w:w="2340" w:type="dxa"/>
          </w:tcPr>
          <w:p w14:paraId="4AE4E9E1"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6</w:t>
            </w:r>
          </w:p>
        </w:tc>
        <w:tc>
          <w:tcPr>
            <w:tcW w:w="2340" w:type="dxa"/>
          </w:tcPr>
          <w:p w14:paraId="4AED34B4"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5</w:t>
            </w:r>
          </w:p>
        </w:tc>
        <w:tc>
          <w:tcPr>
            <w:tcW w:w="2340" w:type="dxa"/>
          </w:tcPr>
          <w:p w14:paraId="090BC0AD"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5</w:t>
            </w:r>
          </w:p>
        </w:tc>
      </w:tr>
      <w:tr w:rsidR="00864B8A" w14:paraId="5CB57078" w14:textId="77777777" w:rsidTr="0086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8FB176C" w14:textId="77777777" w:rsidR="00864B8A" w:rsidRDefault="0012031E">
            <w:pPr>
              <w:spacing w:after="0" w:line="240" w:lineRule="auto"/>
            </w:pPr>
            <w:r>
              <w:rPr>
                <w:sz w:val="20"/>
              </w:rPr>
              <w:t>Gross profitability</w:t>
            </w:r>
          </w:p>
        </w:tc>
        <w:tc>
          <w:tcPr>
            <w:tcW w:w="2340" w:type="dxa"/>
          </w:tcPr>
          <w:p w14:paraId="13BE614E"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0.526</w:t>
            </w:r>
          </w:p>
        </w:tc>
        <w:tc>
          <w:tcPr>
            <w:tcW w:w="2340" w:type="dxa"/>
          </w:tcPr>
          <w:p w14:paraId="09A7A35D"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0.377</w:t>
            </w:r>
          </w:p>
        </w:tc>
        <w:tc>
          <w:tcPr>
            <w:tcW w:w="2340" w:type="dxa"/>
          </w:tcPr>
          <w:p w14:paraId="7F32D8D5"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0.197</w:t>
            </w:r>
          </w:p>
        </w:tc>
      </w:tr>
      <w:tr w:rsidR="00864B8A" w14:paraId="16065D3A" w14:textId="77777777" w:rsidTr="00864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A886A2" w14:textId="77777777" w:rsidR="00864B8A" w:rsidRDefault="0012031E">
            <w:pPr>
              <w:spacing w:after="0" w:line="240" w:lineRule="auto"/>
            </w:pPr>
            <w:r>
              <w:rPr>
                <w:sz w:val="20"/>
              </w:rPr>
              <w:t>GP universe pct</w:t>
            </w:r>
          </w:p>
        </w:tc>
        <w:tc>
          <w:tcPr>
            <w:tcW w:w="2340" w:type="dxa"/>
          </w:tcPr>
          <w:p w14:paraId="5741C2ED"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84</w:t>
            </w:r>
          </w:p>
        </w:tc>
        <w:tc>
          <w:tcPr>
            <w:tcW w:w="2340" w:type="dxa"/>
          </w:tcPr>
          <w:p w14:paraId="10DFE248"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73</w:t>
            </w:r>
          </w:p>
        </w:tc>
        <w:tc>
          <w:tcPr>
            <w:tcW w:w="2340" w:type="dxa"/>
          </w:tcPr>
          <w:p w14:paraId="77F89202"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51</w:t>
            </w:r>
          </w:p>
        </w:tc>
      </w:tr>
      <w:tr w:rsidR="00864B8A" w14:paraId="3506E2B9" w14:textId="77777777" w:rsidTr="0086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332F59" w14:textId="77777777" w:rsidR="00864B8A" w:rsidRDefault="0012031E">
            <w:pPr>
              <w:spacing w:after="0" w:line="240" w:lineRule="auto"/>
            </w:pPr>
            <w:r>
              <w:rPr>
                <w:sz w:val="20"/>
              </w:rPr>
              <w:t>Accruals ratio</w:t>
            </w:r>
          </w:p>
        </w:tc>
        <w:tc>
          <w:tcPr>
            <w:tcW w:w="2340" w:type="dxa"/>
          </w:tcPr>
          <w:p w14:paraId="7FAC226D"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-0.067</w:t>
            </w:r>
          </w:p>
        </w:tc>
        <w:tc>
          <w:tcPr>
            <w:tcW w:w="2340" w:type="dxa"/>
          </w:tcPr>
          <w:p w14:paraId="09B1992D"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-0.059</w:t>
            </w:r>
          </w:p>
        </w:tc>
        <w:tc>
          <w:tcPr>
            <w:tcW w:w="2340" w:type="dxa"/>
          </w:tcPr>
          <w:p w14:paraId="7D4E0446"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-0.051</w:t>
            </w:r>
          </w:p>
        </w:tc>
      </w:tr>
      <w:tr w:rsidR="00864B8A" w14:paraId="24DA9D9A" w14:textId="77777777" w:rsidTr="00864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349F42" w14:textId="77777777" w:rsidR="00864B8A" w:rsidRDefault="0012031E">
            <w:pPr>
              <w:spacing w:after="0" w:line="240" w:lineRule="auto"/>
            </w:pPr>
            <w:r>
              <w:rPr>
                <w:sz w:val="20"/>
              </w:rPr>
              <w:t>EV / EBITDA</w:t>
            </w:r>
          </w:p>
        </w:tc>
        <w:tc>
          <w:tcPr>
            <w:tcW w:w="2340" w:type="dxa"/>
          </w:tcPr>
          <w:p w14:paraId="51CE8ED4"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28.3</w:t>
            </w:r>
          </w:p>
        </w:tc>
        <w:tc>
          <w:tcPr>
            <w:tcW w:w="2340" w:type="dxa"/>
          </w:tcPr>
          <w:p w14:paraId="7C4A2B69"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24.0</w:t>
            </w:r>
          </w:p>
        </w:tc>
        <w:tc>
          <w:tcPr>
            <w:tcW w:w="2340" w:type="dxa"/>
          </w:tcPr>
          <w:p w14:paraId="44705787"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9.5</w:t>
            </w:r>
          </w:p>
        </w:tc>
      </w:tr>
      <w:tr w:rsidR="00864B8A" w14:paraId="6F6565F3" w14:textId="77777777" w:rsidTr="0086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1DCE254" w14:textId="77777777" w:rsidR="00864B8A" w:rsidRDefault="0012031E">
            <w:pPr>
              <w:spacing w:after="0" w:line="240" w:lineRule="auto"/>
            </w:pPr>
            <w:r>
              <w:rPr>
                <w:sz w:val="20"/>
              </w:rPr>
              <w:t>P / E</w:t>
            </w:r>
          </w:p>
        </w:tc>
        <w:tc>
          <w:tcPr>
            <w:tcW w:w="2340" w:type="dxa"/>
          </w:tcPr>
          <w:p w14:paraId="41E391FF"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40.2</w:t>
            </w:r>
          </w:p>
        </w:tc>
        <w:tc>
          <w:tcPr>
            <w:tcW w:w="2340" w:type="dxa"/>
          </w:tcPr>
          <w:p w14:paraId="5264C99D"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35.6</w:t>
            </w:r>
          </w:p>
        </w:tc>
        <w:tc>
          <w:tcPr>
            <w:tcW w:w="2340" w:type="dxa"/>
          </w:tcPr>
          <w:p w14:paraId="7F976E0A"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8.2</w:t>
            </w:r>
          </w:p>
        </w:tc>
      </w:tr>
      <w:tr w:rsidR="00864B8A" w14:paraId="038AB346" w14:textId="77777777" w:rsidTr="00864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04FFE9" w14:textId="77777777" w:rsidR="00864B8A" w:rsidRDefault="0012031E">
            <w:pPr>
              <w:spacing w:after="0" w:line="240" w:lineRule="auto"/>
            </w:pPr>
            <w:r>
              <w:rPr>
                <w:sz w:val="20"/>
              </w:rPr>
              <w:t>Value percentile</w:t>
            </w:r>
          </w:p>
        </w:tc>
        <w:tc>
          <w:tcPr>
            <w:tcW w:w="2340" w:type="dxa"/>
          </w:tcPr>
          <w:p w14:paraId="7ADA3F05"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17</w:t>
            </w:r>
          </w:p>
        </w:tc>
        <w:tc>
          <w:tcPr>
            <w:tcW w:w="2340" w:type="dxa"/>
          </w:tcPr>
          <w:p w14:paraId="21B0978F"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20</w:t>
            </w:r>
          </w:p>
        </w:tc>
        <w:tc>
          <w:tcPr>
            <w:tcW w:w="2340" w:type="dxa"/>
          </w:tcPr>
          <w:p w14:paraId="0EB2FC6E"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70</w:t>
            </w:r>
          </w:p>
        </w:tc>
      </w:tr>
      <w:tr w:rsidR="00864B8A" w14:paraId="09073EE5" w14:textId="77777777" w:rsidTr="0086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B0C3774" w14:textId="77777777" w:rsidR="00864B8A" w:rsidRDefault="0012031E">
            <w:pPr>
              <w:spacing w:after="0" w:line="240" w:lineRule="auto"/>
            </w:pPr>
            <w:r>
              <w:rPr>
                <w:sz w:val="20"/>
              </w:rPr>
              <w:t>12-1 momentum</w:t>
            </w:r>
          </w:p>
        </w:tc>
        <w:tc>
          <w:tcPr>
            <w:tcW w:w="2340" w:type="dxa"/>
          </w:tcPr>
          <w:p w14:paraId="1EB851BB"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19.4%</w:t>
            </w:r>
          </w:p>
        </w:tc>
        <w:tc>
          <w:tcPr>
            <w:tcW w:w="2340" w:type="dxa"/>
          </w:tcPr>
          <w:p w14:paraId="20243EB0"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7.8%</w:t>
            </w:r>
          </w:p>
        </w:tc>
        <w:tc>
          <w:tcPr>
            <w:tcW w:w="2340" w:type="dxa"/>
          </w:tcPr>
          <w:p w14:paraId="2985B1EB" w14:textId="77777777" w:rsidR="00864B8A" w:rsidRDefault="0012031E">
            <w:pPr>
              <w:spacing w:after="0" w:line="240" w:lineRule="auto"/>
              <w:cnfStyle w:val="000000100000" w:firstRow="0" w:lastRow="0" w:firstColumn="0" w:lastColumn="0" w:oddVBand="0" w:evenVBand="0" w:oddHBand="1" w:evenHBand="0" w:firstRowFirstColumn="0" w:firstRowLastColumn="0" w:lastRowFirstColumn="0" w:lastRowLastColumn="0"/>
            </w:pPr>
            <w:r>
              <w:rPr>
                <w:sz w:val="20"/>
              </w:rPr>
              <w:t>8.5%</w:t>
            </w:r>
          </w:p>
        </w:tc>
      </w:tr>
      <w:tr w:rsidR="00864B8A" w14:paraId="185EFFFF" w14:textId="77777777" w:rsidTr="00864B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6048558" w14:textId="77777777" w:rsidR="00864B8A" w:rsidRDefault="0012031E">
            <w:pPr>
              <w:spacing w:after="0" w:line="240" w:lineRule="auto"/>
            </w:pPr>
            <w:r>
              <w:rPr>
                <w:sz w:val="20"/>
              </w:rPr>
              <w:t>Momentum percentile</w:t>
            </w:r>
          </w:p>
        </w:tc>
        <w:tc>
          <w:tcPr>
            <w:tcW w:w="2340" w:type="dxa"/>
          </w:tcPr>
          <w:p w14:paraId="267C7CFA"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59</w:t>
            </w:r>
          </w:p>
        </w:tc>
        <w:tc>
          <w:tcPr>
            <w:tcW w:w="2340" w:type="dxa"/>
          </w:tcPr>
          <w:p w14:paraId="10D34DFA"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51</w:t>
            </w:r>
          </w:p>
        </w:tc>
        <w:tc>
          <w:tcPr>
            <w:tcW w:w="2340" w:type="dxa"/>
          </w:tcPr>
          <w:p w14:paraId="15632A6B" w14:textId="77777777" w:rsidR="00864B8A" w:rsidRDefault="0012031E">
            <w:pPr>
              <w:spacing w:after="0" w:line="240" w:lineRule="auto"/>
              <w:cnfStyle w:val="000000010000" w:firstRow="0" w:lastRow="0" w:firstColumn="0" w:lastColumn="0" w:oddVBand="0" w:evenVBand="0" w:oddHBand="0" w:evenHBand="1" w:firstRowFirstColumn="0" w:firstRowLastColumn="0" w:lastRowFirstColumn="0" w:lastRowLastColumn="0"/>
            </w:pPr>
            <w:r>
              <w:rPr>
                <w:sz w:val="20"/>
              </w:rPr>
              <w:t>52</w:t>
            </w:r>
          </w:p>
        </w:tc>
      </w:tr>
    </w:tbl>
    <w:p w14:paraId="0F8FAB29" w14:textId="77777777" w:rsidR="00864B8A" w:rsidRDefault="0012031E">
      <w:pPr>
        <w:keepNext/>
        <w:spacing w:before="80" w:after="40"/>
      </w:pPr>
      <w:r>
        <w:rPr>
          <w:b/>
          <w:color w:val="000000"/>
          <w:sz w:val="24"/>
        </w:rPr>
        <w:t>5.1 Apple (AAPL) — quality at a price</w:t>
      </w:r>
    </w:p>
    <w:p w14:paraId="15A60F5A" w14:textId="77777777" w:rsidR="00864B8A" w:rsidRDefault="0012031E">
      <w:r>
        <w:t xml:space="preserve">Apple scores 58 on the composite (73rd percentile). The fundamentals panel is strong: an F-Score of 6 of 9 (77th percentile), gross profitability at 0.53 (84th universe percentile, 83rd within Manufacturing), and a clean accruals reading. Valuation is the headwind: an EV/EBITDA of 28× sits in the 87th percentile of the universe (more expensive than 87% of names), pulling the value percentile to 17 — bottom-quintile cheap. Sentiment is the most consistent of the three names: tone has held above +0.27 across </w:t>
      </w:r>
      <w:r>
        <w:t>the last four quarters, hedging is below 0.03, and confidence has risen from 0.13 in Q4 2024 to 0.16 in Q1 2026. Claude's bull case emphasises the durable franchise and high-quality earnings; the bear case is anchored on the premium valuation. No divergence is flagged because the strong fundamentals and confident management language tell the same story.</w:t>
      </w:r>
    </w:p>
    <w:p w14:paraId="1EA79FCD" w14:textId="77777777" w:rsidR="00864B8A" w:rsidRDefault="0012031E">
      <w:pPr>
        <w:keepNext/>
        <w:spacing w:before="80" w:after="40"/>
      </w:pPr>
      <w:r>
        <w:rPr>
          <w:b/>
          <w:color w:val="000000"/>
          <w:sz w:val="24"/>
        </w:rPr>
        <w:t>5.2 Microsoft (MSFT) — high quality, fully priced</w:t>
      </w:r>
    </w:p>
    <w:p w14:paraId="1FAA467A" w14:textId="77777777" w:rsidR="00864B8A" w:rsidRDefault="0012031E">
      <w:r>
        <w:t>Microsoft scores 51 on the composite (57th percentile). The F-Score is 5 of 9, gross profitability is 0.38 (73rd universe percentile), and EV/EBITDA of 24× places it in the 85th percentile — a profile comparable to Apple. Sentiment trends similarly: tone has climbed from neutral in mid-2024 to roughly +0.28 in the last three quarters, with confidence rising from 0.21 to 0.25. Like AAPL, the model does not flag a divergence — quant and sentiment are aligned, and the discussion centres on the growth-versus-va</w:t>
      </w:r>
      <w:r>
        <w:t>luation tradeoff.</w:t>
      </w:r>
    </w:p>
    <w:p w14:paraId="625E8957" w14:textId="77777777" w:rsidR="00864B8A" w:rsidRDefault="0012031E">
      <w:pPr>
        <w:keepNext/>
        <w:spacing w:before="80" w:after="40"/>
      </w:pPr>
      <w:r>
        <w:rPr>
          <w:b/>
          <w:color w:val="000000"/>
          <w:sz w:val="24"/>
        </w:rPr>
        <w:lastRenderedPageBreak/>
        <w:t>5.3 Harley-Davidson (HOG) — value with softening tone</w:t>
      </w:r>
    </w:p>
    <w:p w14:paraId="5FC7B255" w14:textId="77777777" w:rsidR="00864B8A" w:rsidRDefault="0012031E">
      <w:r>
        <w:t>Harley-Davidson scores 56 on the composite (68th percentile) and is the most interesting of the three. Quality is mid-pack (F-Score 5, GP 51st universe percentile, 39th in Manufacturing). Valuation is where it stands out: EV/EBITDA of 9.5× and a P/E of 8.2× place it in the 70th value percentile — meaningfully cheaper than the universe median. Sentiment, however, has drifted lower over the available transcript window: tone has fallen from +0.30 in Q4 2023 to +0.18 in Q4 2025, while hedging has crept up modes</w:t>
      </w:r>
      <w:r>
        <w:t>tly. Forward-looking confidence has risen, suggesting management is providing more concrete guidance even as the overall language has cooled. This is exactly the type of mismatch the divergence flag is designed for: an inexpensive name where the numbers screen well but the executive narrative is no longer as positive.</w:t>
      </w:r>
    </w:p>
    <w:p w14:paraId="0B115E05" w14:textId="77777777" w:rsidR="00864B8A" w:rsidRDefault="0012031E">
      <w:pPr>
        <w:keepNext/>
        <w:spacing w:before="160" w:after="40"/>
      </w:pPr>
      <w:r>
        <w:rPr>
          <w:b/>
          <w:color w:val="000000"/>
          <w:sz w:val="28"/>
        </w:rPr>
        <w:t>6. Backtesting the Composite Signal</w:t>
      </w:r>
    </w:p>
    <w:p w14:paraId="345091F3" w14:textId="77777777" w:rsidR="00864B8A" w:rsidRDefault="0012031E">
      <w:pPr>
        <w:spacing w:before="80" w:after="40"/>
      </w:pPr>
      <w:r>
        <w:rPr>
          <w:b/>
          <w:color w:val="000000"/>
          <w:sz w:val="24"/>
          <w:szCs w:val="24"/>
        </w:rPr>
        <w:t>6.1 Methodology</w:t>
      </w:r>
    </w:p>
    <w:p w14:paraId="11FBF098" w14:textId="77777777" w:rsidR="00864B8A" w:rsidRDefault="0012031E">
      <w:r>
        <w:t>We evaluate the composite score’s predictive power using a long-short portfolio backtest spanning January 1996 to November 2024 (347 months). At the end of each calendar month, we rank all U.S. common shares in the CRSP database (ordinary common shares, share codes 10 and 11) by composite score, form an equal-weighted long portfolio of the 100 highest-scoring stocks and an equal-weighted short portfolio of the 100 lowest-scoring stocks, and hold each book for one month before rebalancing.</w:t>
      </w:r>
    </w:p>
    <w:p w14:paraId="0949BE7B" w14:textId="77777777" w:rsidR="00864B8A" w:rsidRDefault="0012031E">
      <w:r>
        <w:t xml:space="preserve">Look-ahead bias is controlled by imposing a three-month reporting lag on all Compustat fundamental data: a fiscal year ending December 31 is treated as available no earlier than March 31 of the following year, consistent with the SEC’s 90-day filing window for large accelerated filers. Within each stock’s time series, we carry the most recently available annual fundamentals forward until a newer fiscal-year-end report arrives. Momentum, the only signal that refreshes monthly, is read from CRSP returns each </w:t>
      </w:r>
      <w:r>
        <w:t>period. We require at least three of the five signals to be non-missing before assigning a composite score, consistent with the threshold described in Section 3.3.</w:t>
      </w:r>
    </w:p>
    <w:p w14:paraId="6D1D1E31" w14:textId="77777777" w:rsidR="00864B8A" w:rsidRDefault="0012031E">
      <w:r>
        <w:t>The benchmark is the CRSP value-weighted market return (Fama and French 2015 data library: market excess return plus risk-free rate), a standard proxy for broad U.S. equity market performance. Risk-adjusted performance is estimated by OLS CAPM regression: rp,t – rf,t = α + β · MktRFt + εt, where rp,t is the portfolio return in month t, rf,t is the one-month T-bill rate, and MktRFt is the CRSP value-weighted market excess return. The annualized alpha is the monthly intercept multiplied by 12.</w:t>
      </w:r>
    </w:p>
    <w:p w14:paraId="111C2FC5" w14:textId="77777777" w:rsidR="00864B8A" w:rsidRDefault="0012031E">
      <w:pPr>
        <w:spacing w:before="80" w:after="40"/>
      </w:pPr>
      <w:r>
        <w:rPr>
          <w:b/>
          <w:color w:val="000000"/>
          <w:sz w:val="24"/>
          <w:szCs w:val="24"/>
        </w:rPr>
        <w:t>6.2 Results</w:t>
      </w:r>
    </w:p>
    <w:p w14:paraId="016156B0" w14:textId="77777777" w:rsidR="00864B8A" w:rsidRDefault="0012031E">
      <w:r>
        <w:lastRenderedPageBreak/>
        <w:t>Table 2 summarizes annualized performance for each portfolio over the full sample. Table 3 reports CAPM regression output for the long book, short book, and long-short spread. Figure 2 plots cumulative returns and the 12-month rolling Sharpe ratio of the long-short spread.</w:t>
      </w:r>
    </w:p>
    <w:p w14:paraId="0E47414F" w14:textId="77777777" w:rsidR="00864B8A" w:rsidRDefault="0012031E">
      <w:pPr>
        <w:spacing w:before="160" w:after="40" w:line="276" w:lineRule="auto"/>
      </w:pPr>
      <w:r>
        <w:rPr>
          <w:b/>
        </w:rPr>
        <w:t>Table 2: Performance Summary (January 1996 – November 2024)</w:t>
      </w:r>
      <w:r>
        <w:br/>
      </w:r>
      <w:r>
        <w:rPr>
          <w:i/>
          <w:sz w:val="20"/>
          <w:szCs w:val="20"/>
        </w:rPr>
        <w:t>Equal-weighted long book (top-100 composite score), short book (bottom-100), long-short spread (long minus short), and CRSP value-weighted market benchmark. Annualized return and volatility computed from monthly returns; Sharpe ratio uses the average monthly risk-free rate as the hurdle. Max drawdown is the peak-to-trough decline in the cumulative return series.</w:t>
      </w:r>
    </w:p>
    <w:tbl>
      <w:tblPr>
        <w:tblW w:w="836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2797"/>
        <w:gridCol w:w="1200"/>
        <w:gridCol w:w="1200"/>
        <w:gridCol w:w="1100"/>
        <w:gridCol w:w="1200"/>
        <w:gridCol w:w="863"/>
      </w:tblGrid>
      <w:tr w:rsidR="00864B8A" w14:paraId="12C00917" w14:textId="77777777">
        <w:trPr>
          <w:tblHeader/>
        </w:trPr>
        <w:tc>
          <w:tcPr>
            <w:tcW w:w="2800" w:type="dxa"/>
            <w:shd w:val="clear" w:color="auto" w:fill="D6E4F0"/>
          </w:tcPr>
          <w:p w14:paraId="5EA11CFC" w14:textId="77777777" w:rsidR="00864B8A" w:rsidRDefault="0012031E">
            <w:pPr>
              <w:spacing w:before="40" w:after="40"/>
              <w:jc w:val="center"/>
            </w:pPr>
            <w:r>
              <w:rPr>
                <w:b/>
                <w:sz w:val="20"/>
                <w:szCs w:val="20"/>
              </w:rPr>
              <w:t>Portfolio</w:t>
            </w:r>
          </w:p>
        </w:tc>
        <w:tc>
          <w:tcPr>
            <w:tcW w:w="1200" w:type="dxa"/>
            <w:shd w:val="clear" w:color="auto" w:fill="D6E4F0"/>
          </w:tcPr>
          <w:p w14:paraId="65E1D81B" w14:textId="77777777" w:rsidR="00864B8A" w:rsidRDefault="0012031E">
            <w:pPr>
              <w:spacing w:before="40" w:after="40"/>
              <w:jc w:val="center"/>
            </w:pPr>
            <w:r>
              <w:rPr>
                <w:b/>
                <w:sz w:val="20"/>
                <w:szCs w:val="20"/>
              </w:rPr>
              <w:t>Ann. Return</w:t>
            </w:r>
          </w:p>
        </w:tc>
        <w:tc>
          <w:tcPr>
            <w:tcW w:w="1200" w:type="dxa"/>
            <w:shd w:val="clear" w:color="auto" w:fill="D6E4F0"/>
          </w:tcPr>
          <w:p w14:paraId="242C8330" w14:textId="77777777" w:rsidR="00864B8A" w:rsidRDefault="0012031E">
            <w:pPr>
              <w:spacing w:before="40" w:after="40"/>
              <w:jc w:val="center"/>
            </w:pPr>
            <w:r>
              <w:rPr>
                <w:b/>
                <w:sz w:val="20"/>
                <w:szCs w:val="20"/>
              </w:rPr>
              <w:t>Ann. Volatility</w:t>
            </w:r>
          </w:p>
        </w:tc>
        <w:tc>
          <w:tcPr>
            <w:tcW w:w="1100" w:type="dxa"/>
            <w:shd w:val="clear" w:color="auto" w:fill="D6E4F0"/>
          </w:tcPr>
          <w:p w14:paraId="5AB19A2F" w14:textId="77777777" w:rsidR="00864B8A" w:rsidRDefault="0012031E">
            <w:pPr>
              <w:spacing w:before="40" w:after="40"/>
              <w:jc w:val="center"/>
            </w:pPr>
            <w:r>
              <w:rPr>
                <w:b/>
                <w:sz w:val="20"/>
                <w:szCs w:val="20"/>
              </w:rPr>
              <w:t>Sharpe Ratio</w:t>
            </w:r>
          </w:p>
        </w:tc>
        <w:tc>
          <w:tcPr>
            <w:tcW w:w="1200" w:type="dxa"/>
            <w:shd w:val="clear" w:color="auto" w:fill="D6E4F0"/>
          </w:tcPr>
          <w:p w14:paraId="6A74DD6E" w14:textId="77777777" w:rsidR="00864B8A" w:rsidRDefault="0012031E">
            <w:pPr>
              <w:spacing w:before="40" w:after="40"/>
              <w:jc w:val="center"/>
            </w:pPr>
            <w:r>
              <w:rPr>
                <w:b/>
                <w:sz w:val="20"/>
                <w:szCs w:val="20"/>
              </w:rPr>
              <w:t>Max Drawdown</w:t>
            </w:r>
          </w:p>
        </w:tc>
        <w:tc>
          <w:tcPr>
            <w:tcW w:w="860" w:type="dxa"/>
            <w:shd w:val="clear" w:color="auto" w:fill="D6E4F0"/>
          </w:tcPr>
          <w:p w14:paraId="205FB56E" w14:textId="77777777" w:rsidR="00864B8A" w:rsidRDefault="0012031E">
            <w:pPr>
              <w:spacing w:before="40" w:after="40"/>
              <w:jc w:val="center"/>
            </w:pPr>
            <w:r>
              <w:rPr>
                <w:b/>
                <w:sz w:val="20"/>
                <w:szCs w:val="20"/>
              </w:rPr>
              <w:t>N Months</w:t>
            </w:r>
          </w:p>
        </w:tc>
      </w:tr>
      <w:tr w:rsidR="00864B8A" w14:paraId="4B4B40FA" w14:textId="77777777">
        <w:tc>
          <w:tcPr>
            <w:tcW w:w="2800" w:type="dxa"/>
            <w:shd w:val="clear" w:color="auto" w:fill="FFFFFF"/>
          </w:tcPr>
          <w:p w14:paraId="6C297FCF" w14:textId="77777777" w:rsidR="00864B8A" w:rsidRDefault="0012031E">
            <w:pPr>
              <w:spacing w:before="40" w:after="40"/>
            </w:pPr>
            <w:r>
              <w:rPr>
                <w:b/>
                <w:sz w:val="20"/>
                <w:szCs w:val="20"/>
              </w:rPr>
              <w:t>Long Book (Top 100)</w:t>
            </w:r>
          </w:p>
        </w:tc>
        <w:tc>
          <w:tcPr>
            <w:tcW w:w="1200" w:type="dxa"/>
            <w:shd w:val="clear" w:color="auto" w:fill="FFFFFF"/>
          </w:tcPr>
          <w:p w14:paraId="0F191AD8" w14:textId="77777777" w:rsidR="00864B8A" w:rsidRDefault="0012031E">
            <w:pPr>
              <w:spacing w:before="40" w:after="40"/>
              <w:jc w:val="center"/>
            </w:pPr>
            <w:r>
              <w:rPr>
                <w:sz w:val="20"/>
                <w:szCs w:val="20"/>
              </w:rPr>
              <w:t>+17.4%</w:t>
            </w:r>
          </w:p>
        </w:tc>
        <w:tc>
          <w:tcPr>
            <w:tcW w:w="1200" w:type="dxa"/>
            <w:shd w:val="clear" w:color="auto" w:fill="FFFFFF"/>
          </w:tcPr>
          <w:p w14:paraId="512780A6" w14:textId="77777777" w:rsidR="00864B8A" w:rsidRDefault="0012031E">
            <w:pPr>
              <w:spacing w:before="40" w:after="40"/>
              <w:jc w:val="center"/>
            </w:pPr>
            <w:r>
              <w:rPr>
                <w:sz w:val="20"/>
                <w:szCs w:val="20"/>
              </w:rPr>
              <w:t>23.7%</w:t>
            </w:r>
          </w:p>
        </w:tc>
        <w:tc>
          <w:tcPr>
            <w:tcW w:w="1100" w:type="dxa"/>
            <w:shd w:val="clear" w:color="auto" w:fill="FFFFFF"/>
          </w:tcPr>
          <w:p w14:paraId="737F3246" w14:textId="77777777" w:rsidR="00864B8A" w:rsidRDefault="0012031E">
            <w:pPr>
              <w:spacing w:before="40" w:after="40"/>
              <w:jc w:val="center"/>
            </w:pPr>
            <w:r>
              <w:rPr>
                <w:sz w:val="20"/>
                <w:szCs w:val="20"/>
              </w:rPr>
              <w:t>0.70</w:t>
            </w:r>
          </w:p>
        </w:tc>
        <w:tc>
          <w:tcPr>
            <w:tcW w:w="1200" w:type="dxa"/>
            <w:shd w:val="clear" w:color="auto" w:fill="FFFFFF"/>
          </w:tcPr>
          <w:p w14:paraId="71B89CB1" w14:textId="77777777" w:rsidR="00864B8A" w:rsidRDefault="0012031E">
            <w:pPr>
              <w:spacing w:before="40" w:after="40"/>
              <w:jc w:val="center"/>
            </w:pPr>
            <w:r>
              <w:rPr>
                <w:sz w:val="20"/>
                <w:szCs w:val="20"/>
              </w:rPr>
              <w:t>−</w:t>
            </w:r>
            <w:r>
              <w:rPr>
                <w:sz w:val="20"/>
                <w:szCs w:val="20"/>
              </w:rPr>
              <w:t>59.0%</w:t>
            </w:r>
          </w:p>
        </w:tc>
        <w:tc>
          <w:tcPr>
            <w:tcW w:w="860" w:type="dxa"/>
            <w:shd w:val="clear" w:color="auto" w:fill="FFFFFF"/>
          </w:tcPr>
          <w:p w14:paraId="5260167B" w14:textId="77777777" w:rsidR="00864B8A" w:rsidRDefault="0012031E">
            <w:pPr>
              <w:spacing w:before="40" w:after="40"/>
              <w:jc w:val="center"/>
            </w:pPr>
            <w:r>
              <w:rPr>
                <w:sz w:val="20"/>
                <w:szCs w:val="20"/>
              </w:rPr>
              <w:t>347</w:t>
            </w:r>
          </w:p>
        </w:tc>
      </w:tr>
      <w:tr w:rsidR="00864B8A" w14:paraId="48585417" w14:textId="77777777">
        <w:tc>
          <w:tcPr>
            <w:tcW w:w="2800" w:type="dxa"/>
            <w:shd w:val="clear" w:color="auto" w:fill="F2F2F2"/>
          </w:tcPr>
          <w:p w14:paraId="21089DED" w14:textId="77777777" w:rsidR="00864B8A" w:rsidRDefault="0012031E">
            <w:pPr>
              <w:spacing w:before="40" w:after="40"/>
            </w:pPr>
            <w:r>
              <w:rPr>
                <w:b/>
                <w:sz w:val="20"/>
                <w:szCs w:val="20"/>
              </w:rPr>
              <w:t>Short Book (Bottom 100)</w:t>
            </w:r>
          </w:p>
        </w:tc>
        <w:tc>
          <w:tcPr>
            <w:tcW w:w="1200" w:type="dxa"/>
            <w:shd w:val="clear" w:color="auto" w:fill="F2F2F2"/>
          </w:tcPr>
          <w:p w14:paraId="629F3E2D" w14:textId="77777777" w:rsidR="00864B8A" w:rsidRDefault="0012031E">
            <w:pPr>
              <w:spacing w:before="40" w:after="40"/>
              <w:jc w:val="center"/>
            </w:pPr>
            <w:r>
              <w:rPr>
                <w:sz w:val="20"/>
                <w:szCs w:val="20"/>
              </w:rPr>
              <w:t>−</w:t>
            </w:r>
            <w:r>
              <w:rPr>
                <w:sz w:val="20"/>
                <w:szCs w:val="20"/>
              </w:rPr>
              <w:t>2.5%</w:t>
            </w:r>
          </w:p>
        </w:tc>
        <w:tc>
          <w:tcPr>
            <w:tcW w:w="1200" w:type="dxa"/>
            <w:shd w:val="clear" w:color="auto" w:fill="F2F2F2"/>
          </w:tcPr>
          <w:p w14:paraId="12211D37" w14:textId="77777777" w:rsidR="00864B8A" w:rsidRDefault="0012031E">
            <w:pPr>
              <w:spacing w:before="40" w:after="40"/>
              <w:jc w:val="center"/>
            </w:pPr>
            <w:r>
              <w:rPr>
                <w:sz w:val="20"/>
                <w:szCs w:val="20"/>
              </w:rPr>
              <w:t>35.9%</w:t>
            </w:r>
          </w:p>
        </w:tc>
        <w:tc>
          <w:tcPr>
            <w:tcW w:w="1100" w:type="dxa"/>
            <w:shd w:val="clear" w:color="auto" w:fill="F2F2F2"/>
          </w:tcPr>
          <w:p w14:paraId="1B6A8ACB" w14:textId="77777777" w:rsidR="00864B8A" w:rsidRDefault="0012031E">
            <w:pPr>
              <w:spacing w:before="40" w:after="40"/>
              <w:jc w:val="center"/>
            </w:pPr>
            <w:r>
              <w:rPr>
                <w:sz w:val="20"/>
                <w:szCs w:val="20"/>
              </w:rPr>
              <w:t>0.04</w:t>
            </w:r>
          </w:p>
        </w:tc>
        <w:tc>
          <w:tcPr>
            <w:tcW w:w="1200" w:type="dxa"/>
            <w:shd w:val="clear" w:color="auto" w:fill="F2F2F2"/>
          </w:tcPr>
          <w:p w14:paraId="615B4FFB" w14:textId="77777777" w:rsidR="00864B8A" w:rsidRDefault="0012031E">
            <w:pPr>
              <w:spacing w:before="40" w:after="40"/>
              <w:jc w:val="center"/>
            </w:pPr>
            <w:r>
              <w:rPr>
                <w:sz w:val="20"/>
                <w:szCs w:val="20"/>
              </w:rPr>
              <w:t>−</w:t>
            </w:r>
            <w:r>
              <w:rPr>
                <w:sz w:val="20"/>
                <w:szCs w:val="20"/>
              </w:rPr>
              <w:t>81.2%</w:t>
            </w:r>
          </w:p>
        </w:tc>
        <w:tc>
          <w:tcPr>
            <w:tcW w:w="860" w:type="dxa"/>
            <w:shd w:val="clear" w:color="auto" w:fill="F2F2F2"/>
          </w:tcPr>
          <w:p w14:paraId="07183FE8" w14:textId="77777777" w:rsidR="00864B8A" w:rsidRDefault="0012031E">
            <w:pPr>
              <w:spacing w:before="40" w:after="40"/>
              <w:jc w:val="center"/>
            </w:pPr>
            <w:r>
              <w:rPr>
                <w:sz w:val="20"/>
                <w:szCs w:val="20"/>
              </w:rPr>
              <w:t>347</w:t>
            </w:r>
          </w:p>
        </w:tc>
      </w:tr>
      <w:tr w:rsidR="00864B8A" w14:paraId="67BE5F2A" w14:textId="77777777">
        <w:tc>
          <w:tcPr>
            <w:tcW w:w="2800" w:type="dxa"/>
            <w:shd w:val="clear" w:color="auto" w:fill="FFFFFF"/>
          </w:tcPr>
          <w:p w14:paraId="7F9EC1A8" w14:textId="77777777" w:rsidR="00864B8A" w:rsidRDefault="0012031E">
            <w:pPr>
              <w:spacing w:before="40" w:after="40"/>
            </w:pPr>
            <w:r>
              <w:rPr>
                <w:b/>
                <w:sz w:val="20"/>
                <w:szCs w:val="20"/>
              </w:rPr>
              <w:t>Long–Short Spread</w:t>
            </w:r>
          </w:p>
        </w:tc>
        <w:tc>
          <w:tcPr>
            <w:tcW w:w="1200" w:type="dxa"/>
            <w:shd w:val="clear" w:color="auto" w:fill="FFFFFF"/>
          </w:tcPr>
          <w:p w14:paraId="087838EE" w14:textId="77777777" w:rsidR="00864B8A" w:rsidRDefault="0012031E">
            <w:pPr>
              <w:spacing w:before="40" w:after="40"/>
              <w:jc w:val="center"/>
            </w:pPr>
            <w:r>
              <w:rPr>
                <w:sz w:val="20"/>
                <w:szCs w:val="20"/>
              </w:rPr>
              <w:t>+12.5%</w:t>
            </w:r>
          </w:p>
        </w:tc>
        <w:tc>
          <w:tcPr>
            <w:tcW w:w="1200" w:type="dxa"/>
            <w:shd w:val="clear" w:color="auto" w:fill="FFFFFF"/>
          </w:tcPr>
          <w:p w14:paraId="072CAF59" w14:textId="77777777" w:rsidR="00864B8A" w:rsidRDefault="0012031E">
            <w:pPr>
              <w:spacing w:before="40" w:after="40"/>
              <w:jc w:val="center"/>
            </w:pPr>
            <w:r>
              <w:rPr>
                <w:sz w:val="20"/>
                <w:szCs w:val="20"/>
              </w:rPr>
              <w:t>25.6%</w:t>
            </w:r>
          </w:p>
        </w:tc>
        <w:tc>
          <w:tcPr>
            <w:tcW w:w="1100" w:type="dxa"/>
            <w:shd w:val="clear" w:color="auto" w:fill="FFFFFF"/>
          </w:tcPr>
          <w:p w14:paraId="584F953D" w14:textId="77777777" w:rsidR="00864B8A" w:rsidRDefault="0012031E">
            <w:pPr>
              <w:spacing w:before="40" w:after="40"/>
              <w:jc w:val="center"/>
            </w:pPr>
            <w:r>
              <w:rPr>
                <w:sz w:val="20"/>
                <w:szCs w:val="20"/>
              </w:rPr>
              <w:t>0.51</w:t>
            </w:r>
          </w:p>
        </w:tc>
        <w:tc>
          <w:tcPr>
            <w:tcW w:w="1200" w:type="dxa"/>
            <w:shd w:val="clear" w:color="auto" w:fill="FFFFFF"/>
          </w:tcPr>
          <w:p w14:paraId="001D2FF0" w14:textId="77777777" w:rsidR="00864B8A" w:rsidRDefault="0012031E">
            <w:pPr>
              <w:spacing w:before="40" w:after="40"/>
              <w:jc w:val="center"/>
            </w:pPr>
            <w:r>
              <w:rPr>
                <w:sz w:val="20"/>
                <w:szCs w:val="20"/>
              </w:rPr>
              <w:t>−</w:t>
            </w:r>
            <w:r>
              <w:rPr>
                <w:sz w:val="20"/>
                <w:szCs w:val="20"/>
              </w:rPr>
              <w:t>55.8%</w:t>
            </w:r>
          </w:p>
        </w:tc>
        <w:tc>
          <w:tcPr>
            <w:tcW w:w="860" w:type="dxa"/>
            <w:shd w:val="clear" w:color="auto" w:fill="FFFFFF"/>
          </w:tcPr>
          <w:p w14:paraId="7AC4B771" w14:textId="77777777" w:rsidR="00864B8A" w:rsidRDefault="0012031E">
            <w:pPr>
              <w:spacing w:before="40" w:after="40"/>
              <w:jc w:val="center"/>
            </w:pPr>
            <w:r>
              <w:rPr>
                <w:sz w:val="20"/>
                <w:szCs w:val="20"/>
              </w:rPr>
              <w:t>347</w:t>
            </w:r>
          </w:p>
        </w:tc>
      </w:tr>
      <w:tr w:rsidR="00864B8A" w14:paraId="0E6DD8EF" w14:textId="77777777">
        <w:tc>
          <w:tcPr>
            <w:tcW w:w="2800" w:type="dxa"/>
            <w:shd w:val="clear" w:color="auto" w:fill="F2F2F2"/>
          </w:tcPr>
          <w:p w14:paraId="0D55B2E4" w14:textId="77777777" w:rsidR="00864B8A" w:rsidRDefault="0012031E">
            <w:pPr>
              <w:spacing w:before="40" w:after="40"/>
            </w:pPr>
            <w:r>
              <w:rPr>
                <w:b/>
                <w:sz w:val="20"/>
                <w:szCs w:val="20"/>
              </w:rPr>
              <w:t>Market (S&amp;P 500 proxy)</w:t>
            </w:r>
          </w:p>
        </w:tc>
        <w:tc>
          <w:tcPr>
            <w:tcW w:w="1200" w:type="dxa"/>
            <w:shd w:val="clear" w:color="auto" w:fill="F2F2F2"/>
          </w:tcPr>
          <w:p w14:paraId="2BBC8622" w14:textId="77777777" w:rsidR="00864B8A" w:rsidRDefault="0012031E">
            <w:pPr>
              <w:spacing w:before="40" w:after="40"/>
              <w:jc w:val="center"/>
            </w:pPr>
            <w:r>
              <w:rPr>
                <w:sz w:val="20"/>
                <w:szCs w:val="20"/>
              </w:rPr>
              <w:t>+10.3%</w:t>
            </w:r>
          </w:p>
        </w:tc>
        <w:tc>
          <w:tcPr>
            <w:tcW w:w="1200" w:type="dxa"/>
            <w:shd w:val="clear" w:color="auto" w:fill="F2F2F2"/>
          </w:tcPr>
          <w:p w14:paraId="7A728DC1" w14:textId="77777777" w:rsidR="00864B8A" w:rsidRDefault="0012031E">
            <w:pPr>
              <w:spacing w:before="40" w:after="40"/>
              <w:jc w:val="center"/>
            </w:pPr>
            <w:r>
              <w:rPr>
                <w:sz w:val="20"/>
                <w:szCs w:val="20"/>
              </w:rPr>
              <w:t>15.9%</w:t>
            </w:r>
          </w:p>
        </w:tc>
        <w:tc>
          <w:tcPr>
            <w:tcW w:w="1100" w:type="dxa"/>
            <w:shd w:val="clear" w:color="auto" w:fill="F2F2F2"/>
          </w:tcPr>
          <w:p w14:paraId="17B5294A" w14:textId="77777777" w:rsidR="00864B8A" w:rsidRDefault="0012031E">
            <w:pPr>
              <w:spacing w:before="40" w:after="40"/>
              <w:jc w:val="center"/>
            </w:pPr>
            <w:r>
              <w:rPr>
                <w:sz w:val="20"/>
                <w:szCs w:val="20"/>
              </w:rPr>
              <w:t>0.56</w:t>
            </w:r>
          </w:p>
        </w:tc>
        <w:tc>
          <w:tcPr>
            <w:tcW w:w="1200" w:type="dxa"/>
            <w:shd w:val="clear" w:color="auto" w:fill="F2F2F2"/>
          </w:tcPr>
          <w:p w14:paraId="1BFDBF3F" w14:textId="77777777" w:rsidR="00864B8A" w:rsidRDefault="0012031E">
            <w:pPr>
              <w:spacing w:before="40" w:after="40"/>
              <w:jc w:val="center"/>
            </w:pPr>
            <w:r>
              <w:rPr>
                <w:sz w:val="20"/>
                <w:szCs w:val="20"/>
              </w:rPr>
              <w:t>−</w:t>
            </w:r>
            <w:r>
              <w:rPr>
                <w:sz w:val="20"/>
                <w:szCs w:val="20"/>
              </w:rPr>
              <w:t>50.3%</w:t>
            </w:r>
          </w:p>
        </w:tc>
        <w:tc>
          <w:tcPr>
            <w:tcW w:w="860" w:type="dxa"/>
            <w:shd w:val="clear" w:color="auto" w:fill="F2F2F2"/>
          </w:tcPr>
          <w:p w14:paraId="709E92AD" w14:textId="77777777" w:rsidR="00864B8A" w:rsidRDefault="0012031E">
            <w:pPr>
              <w:spacing w:before="40" w:after="40"/>
              <w:jc w:val="center"/>
            </w:pPr>
            <w:r>
              <w:rPr>
                <w:sz w:val="20"/>
                <w:szCs w:val="20"/>
              </w:rPr>
              <w:t>347</w:t>
            </w:r>
          </w:p>
        </w:tc>
      </w:tr>
    </w:tbl>
    <w:p w14:paraId="2727F376" w14:textId="77777777" w:rsidR="00864B8A" w:rsidRDefault="00864B8A">
      <w:pPr>
        <w:spacing w:after="0"/>
      </w:pPr>
    </w:p>
    <w:p w14:paraId="42B3B6E8" w14:textId="77777777" w:rsidR="00864B8A" w:rsidRDefault="0012031E">
      <w:pPr>
        <w:spacing w:before="160" w:after="40" w:line="276" w:lineRule="auto"/>
      </w:pPr>
      <w:r>
        <w:rPr>
          <w:b/>
        </w:rPr>
        <w:t>Table 3: CAPM Analysis (January 1996 – November 2024)</w:t>
      </w:r>
      <w:r>
        <w:br/>
      </w:r>
      <w:r>
        <w:rPr>
          <w:i/>
          <w:sz w:val="20"/>
          <w:szCs w:val="20"/>
        </w:rPr>
        <w:t>OLS regression: rp,t – rf,t = α + β · MktRFt + εt. Monthly α is the regression intercept; annualized α multiplies by 12. t(α) is the t-statistic for the intercept; *** denotes p &lt; 0.01. MktRFt is the CRSP value-weighted market excess return (Fama and French 2015 data library).</w:t>
      </w:r>
    </w:p>
    <w:tbl>
      <w:tblPr>
        <w:tblW w:w="89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2500"/>
        <w:gridCol w:w="1100"/>
        <w:gridCol w:w="1300"/>
        <w:gridCol w:w="1000"/>
        <w:gridCol w:w="1000"/>
        <w:gridCol w:w="1100"/>
        <w:gridCol w:w="900"/>
      </w:tblGrid>
      <w:tr w:rsidR="00864B8A" w14:paraId="3930FE2D" w14:textId="77777777">
        <w:trPr>
          <w:tblHeader/>
        </w:trPr>
        <w:tc>
          <w:tcPr>
            <w:tcW w:w="2500" w:type="dxa"/>
            <w:shd w:val="clear" w:color="auto" w:fill="D6E4F0"/>
          </w:tcPr>
          <w:p w14:paraId="037CAF3D" w14:textId="77777777" w:rsidR="00864B8A" w:rsidRDefault="0012031E">
            <w:pPr>
              <w:spacing w:before="40" w:after="40"/>
              <w:jc w:val="center"/>
            </w:pPr>
            <w:r>
              <w:rPr>
                <w:b/>
                <w:sz w:val="20"/>
                <w:szCs w:val="20"/>
              </w:rPr>
              <w:t>Portfolio</w:t>
            </w:r>
          </w:p>
        </w:tc>
        <w:tc>
          <w:tcPr>
            <w:tcW w:w="1100" w:type="dxa"/>
            <w:shd w:val="clear" w:color="auto" w:fill="D6E4F0"/>
          </w:tcPr>
          <w:p w14:paraId="615B592D" w14:textId="77777777" w:rsidR="00864B8A" w:rsidRDefault="0012031E">
            <w:pPr>
              <w:spacing w:before="40" w:after="40"/>
              <w:jc w:val="center"/>
            </w:pPr>
            <w:r>
              <w:rPr>
                <w:b/>
                <w:sz w:val="20"/>
                <w:szCs w:val="20"/>
              </w:rPr>
              <w:t>α (Monthly)</w:t>
            </w:r>
          </w:p>
        </w:tc>
        <w:tc>
          <w:tcPr>
            <w:tcW w:w="1300" w:type="dxa"/>
            <w:shd w:val="clear" w:color="auto" w:fill="D6E4F0"/>
          </w:tcPr>
          <w:p w14:paraId="0878FF06" w14:textId="77777777" w:rsidR="00864B8A" w:rsidRDefault="0012031E">
            <w:pPr>
              <w:spacing w:before="40" w:after="40"/>
              <w:jc w:val="center"/>
            </w:pPr>
            <w:r>
              <w:rPr>
                <w:b/>
                <w:sz w:val="20"/>
                <w:szCs w:val="20"/>
              </w:rPr>
              <w:t>α (Annualized)</w:t>
            </w:r>
          </w:p>
        </w:tc>
        <w:tc>
          <w:tcPr>
            <w:tcW w:w="1000" w:type="dxa"/>
            <w:shd w:val="clear" w:color="auto" w:fill="D6E4F0"/>
          </w:tcPr>
          <w:p w14:paraId="24DC3D55" w14:textId="77777777" w:rsidR="00864B8A" w:rsidRDefault="0012031E">
            <w:pPr>
              <w:spacing w:before="40" w:after="40"/>
              <w:jc w:val="center"/>
            </w:pPr>
            <w:r>
              <w:rPr>
                <w:b/>
                <w:sz w:val="20"/>
                <w:szCs w:val="20"/>
              </w:rPr>
              <w:t>t(α)</w:t>
            </w:r>
          </w:p>
        </w:tc>
        <w:tc>
          <w:tcPr>
            <w:tcW w:w="1000" w:type="dxa"/>
            <w:shd w:val="clear" w:color="auto" w:fill="D6E4F0"/>
          </w:tcPr>
          <w:p w14:paraId="3029A98A" w14:textId="77777777" w:rsidR="00864B8A" w:rsidRDefault="0012031E">
            <w:pPr>
              <w:spacing w:before="40" w:after="40"/>
              <w:jc w:val="center"/>
            </w:pPr>
            <w:r>
              <w:rPr>
                <w:b/>
                <w:sz w:val="20"/>
                <w:szCs w:val="20"/>
              </w:rPr>
              <w:t>p-value</w:t>
            </w:r>
          </w:p>
        </w:tc>
        <w:tc>
          <w:tcPr>
            <w:tcW w:w="1100" w:type="dxa"/>
            <w:shd w:val="clear" w:color="auto" w:fill="D6E4F0"/>
          </w:tcPr>
          <w:p w14:paraId="4959EDCC" w14:textId="77777777" w:rsidR="00864B8A" w:rsidRDefault="0012031E">
            <w:pPr>
              <w:spacing w:before="40" w:after="40"/>
              <w:jc w:val="center"/>
            </w:pPr>
            <w:r>
              <w:rPr>
                <w:b/>
                <w:sz w:val="20"/>
                <w:szCs w:val="20"/>
              </w:rPr>
              <w:t>β (Market)</w:t>
            </w:r>
          </w:p>
        </w:tc>
        <w:tc>
          <w:tcPr>
            <w:tcW w:w="900" w:type="dxa"/>
            <w:shd w:val="clear" w:color="auto" w:fill="D6E4F0"/>
          </w:tcPr>
          <w:p w14:paraId="1A047CB5" w14:textId="77777777" w:rsidR="00864B8A" w:rsidRDefault="0012031E">
            <w:pPr>
              <w:spacing w:before="40" w:after="40"/>
              <w:jc w:val="center"/>
            </w:pPr>
            <w:r>
              <w:rPr>
                <w:b/>
                <w:sz w:val="20"/>
                <w:szCs w:val="20"/>
              </w:rPr>
              <w:t>R²</w:t>
            </w:r>
          </w:p>
        </w:tc>
      </w:tr>
      <w:tr w:rsidR="00864B8A" w14:paraId="3723828D" w14:textId="77777777">
        <w:tc>
          <w:tcPr>
            <w:tcW w:w="2500" w:type="dxa"/>
            <w:shd w:val="clear" w:color="auto" w:fill="FFFFFF"/>
          </w:tcPr>
          <w:p w14:paraId="2793D6B2" w14:textId="77777777" w:rsidR="00864B8A" w:rsidRDefault="0012031E">
            <w:pPr>
              <w:spacing w:before="40" w:after="40"/>
            </w:pPr>
            <w:r>
              <w:rPr>
                <w:b/>
                <w:sz w:val="20"/>
                <w:szCs w:val="20"/>
              </w:rPr>
              <w:t>Long Book (Top 100)</w:t>
            </w:r>
          </w:p>
        </w:tc>
        <w:tc>
          <w:tcPr>
            <w:tcW w:w="1100" w:type="dxa"/>
            <w:shd w:val="clear" w:color="auto" w:fill="FFFFFF"/>
          </w:tcPr>
          <w:p w14:paraId="6DA0360A" w14:textId="77777777" w:rsidR="00864B8A" w:rsidRDefault="0012031E">
            <w:pPr>
              <w:spacing w:before="40" w:after="40"/>
              <w:jc w:val="center"/>
            </w:pPr>
            <w:r>
              <w:rPr>
                <w:sz w:val="20"/>
                <w:szCs w:val="20"/>
              </w:rPr>
              <w:t>+1.33%</w:t>
            </w:r>
          </w:p>
        </w:tc>
        <w:tc>
          <w:tcPr>
            <w:tcW w:w="1300" w:type="dxa"/>
            <w:shd w:val="clear" w:color="auto" w:fill="FFFFFF"/>
          </w:tcPr>
          <w:p w14:paraId="3646137F" w14:textId="77777777" w:rsidR="00864B8A" w:rsidRDefault="0012031E">
            <w:pPr>
              <w:spacing w:before="40" w:after="40"/>
              <w:jc w:val="center"/>
            </w:pPr>
            <w:r>
              <w:rPr>
                <w:sz w:val="20"/>
                <w:szCs w:val="20"/>
              </w:rPr>
              <w:t>+15.9%***</w:t>
            </w:r>
          </w:p>
        </w:tc>
        <w:tc>
          <w:tcPr>
            <w:tcW w:w="1000" w:type="dxa"/>
            <w:shd w:val="clear" w:color="auto" w:fill="FFFFFF"/>
          </w:tcPr>
          <w:p w14:paraId="3966BE56" w14:textId="77777777" w:rsidR="00864B8A" w:rsidRDefault="0012031E">
            <w:pPr>
              <w:spacing w:before="40" w:after="40"/>
              <w:jc w:val="center"/>
            </w:pPr>
            <w:r>
              <w:rPr>
                <w:sz w:val="20"/>
                <w:szCs w:val="20"/>
              </w:rPr>
              <w:t>3.56</w:t>
            </w:r>
          </w:p>
        </w:tc>
        <w:tc>
          <w:tcPr>
            <w:tcW w:w="1000" w:type="dxa"/>
            <w:shd w:val="clear" w:color="auto" w:fill="FFFFFF"/>
          </w:tcPr>
          <w:p w14:paraId="35A0C2DB" w14:textId="77777777" w:rsidR="00864B8A" w:rsidRDefault="0012031E">
            <w:pPr>
              <w:spacing w:before="40" w:after="40"/>
              <w:jc w:val="center"/>
            </w:pPr>
            <w:r>
              <w:rPr>
                <w:sz w:val="20"/>
                <w:szCs w:val="20"/>
              </w:rPr>
              <w:t>&lt;0.001</w:t>
            </w:r>
          </w:p>
        </w:tc>
        <w:tc>
          <w:tcPr>
            <w:tcW w:w="1100" w:type="dxa"/>
            <w:shd w:val="clear" w:color="auto" w:fill="FFFFFF"/>
          </w:tcPr>
          <w:p w14:paraId="73602EB0" w14:textId="77777777" w:rsidR="00864B8A" w:rsidRDefault="0012031E">
            <w:pPr>
              <w:spacing w:before="40" w:after="40"/>
              <w:jc w:val="center"/>
            </w:pPr>
            <w:r>
              <w:rPr>
                <w:sz w:val="20"/>
                <w:szCs w:val="20"/>
              </w:rPr>
              <w:t>0.09</w:t>
            </w:r>
          </w:p>
        </w:tc>
        <w:tc>
          <w:tcPr>
            <w:tcW w:w="900" w:type="dxa"/>
            <w:shd w:val="clear" w:color="auto" w:fill="FFFFFF"/>
          </w:tcPr>
          <w:p w14:paraId="4BEBFBB1" w14:textId="77777777" w:rsidR="00864B8A" w:rsidRDefault="0012031E">
            <w:pPr>
              <w:spacing w:before="40" w:after="40"/>
              <w:jc w:val="center"/>
            </w:pPr>
            <w:r>
              <w:rPr>
                <w:sz w:val="20"/>
                <w:szCs w:val="20"/>
              </w:rPr>
              <w:t>0.004</w:t>
            </w:r>
          </w:p>
        </w:tc>
      </w:tr>
      <w:tr w:rsidR="00864B8A" w14:paraId="2188D40B" w14:textId="77777777">
        <w:tc>
          <w:tcPr>
            <w:tcW w:w="2500" w:type="dxa"/>
            <w:shd w:val="clear" w:color="auto" w:fill="F2F2F2"/>
          </w:tcPr>
          <w:p w14:paraId="68543F79" w14:textId="77777777" w:rsidR="00864B8A" w:rsidRDefault="0012031E">
            <w:pPr>
              <w:spacing w:before="40" w:after="40"/>
            </w:pPr>
            <w:r>
              <w:rPr>
                <w:b/>
                <w:sz w:val="20"/>
                <w:szCs w:val="20"/>
              </w:rPr>
              <w:t>Short Book (Bottom 100)</w:t>
            </w:r>
          </w:p>
        </w:tc>
        <w:tc>
          <w:tcPr>
            <w:tcW w:w="1100" w:type="dxa"/>
            <w:shd w:val="clear" w:color="auto" w:fill="F2F2F2"/>
          </w:tcPr>
          <w:p w14:paraId="03140683" w14:textId="77777777" w:rsidR="00864B8A" w:rsidRDefault="0012031E">
            <w:pPr>
              <w:spacing w:before="40" w:after="40"/>
              <w:jc w:val="center"/>
            </w:pPr>
            <w:r>
              <w:rPr>
                <w:sz w:val="20"/>
                <w:szCs w:val="20"/>
              </w:rPr>
              <w:t>−</w:t>
            </w:r>
            <w:r>
              <w:rPr>
                <w:sz w:val="20"/>
                <w:szCs w:val="20"/>
              </w:rPr>
              <w:t>0.17%</w:t>
            </w:r>
          </w:p>
        </w:tc>
        <w:tc>
          <w:tcPr>
            <w:tcW w:w="1300" w:type="dxa"/>
            <w:shd w:val="clear" w:color="auto" w:fill="F2F2F2"/>
          </w:tcPr>
          <w:p w14:paraId="324A853D" w14:textId="77777777" w:rsidR="00864B8A" w:rsidRDefault="0012031E">
            <w:pPr>
              <w:spacing w:before="40" w:after="40"/>
              <w:jc w:val="center"/>
            </w:pPr>
            <w:r>
              <w:rPr>
                <w:sz w:val="20"/>
                <w:szCs w:val="20"/>
              </w:rPr>
              <w:t>−</w:t>
            </w:r>
            <w:r>
              <w:rPr>
                <w:sz w:val="20"/>
                <w:szCs w:val="20"/>
              </w:rPr>
              <w:t>2.1%</w:t>
            </w:r>
          </w:p>
        </w:tc>
        <w:tc>
          <w:tcPr>
            <w:tcW w:w="1000" w:type="dxa"/>
            <w:shd w:val="clear" w:color="auto" w:fill="F2F2F2"/>
          </w:tcPr>
          <w:p w14:paraId="6FE65119" w14:textId="77777777" w:rsidR="00864B8A" w:rsidRDefault="0012031E">
            <w:pPr>
              <w:spacing w:before="40" w:after="40"/>
              <w:jc w:val="center"/>
            </w:pPr>
            <w:r>
              <w:rPr>
                <w:sz w:val="20"/>
                <w:szCs w:val="20"/>
              </w:rPr>
              <w:t>−</w:t>
            </w:r>
            <w:r>
              <w:rPr>
                <w:sz w:val="20"/>
                <w:szCs w:val="20"/>
              </w:rPr>
              <w:t>0.31</w:t>
            </w:r>
          </w:p>
        </w:tc>
        <w:tc>
          <w:tcPr>
            <w:tcW w:w="1000" w:type="dxa"/>
            <w:shd w:val="clear" w:color="auto" w:fill="F2F2F2"/>
          </w:tcPr>
          <w:p w14:paraId="71C2180D" w14:textId="77777777" w:rsidR="00864B8A" w:rsidRDefault="0012031E">
            <w:pPr>
              <w:spacing w:before="40" w:after="40"/>
              <w:jc w:val="center"/>
            </w:pPr>
            <w:r>
              <w:rPr>
                <w:sz w:val="20"/>
                <w:szCs w:val="20"/>
              </w:rPr>
              <w:t>0.757</w:t>
            </w:r>
          </w:p>
        </w:tc>
        <w:tc>
          <w:tcPr>
            <w:tcW w:w="1100" w:type="dxa"/>
            <w:shd w:val="clear" w:color="auto" w:fill="F2F2F2"/>
          </w:tcPr>
          <w:p w14:paraId="3E21A12F" w14:textId="77777777" w:rsidR="00864B8A" w:rsidRDefault="0012031E">
            <w:pPr>
              <w:spacing w:before="40" w:after="40"/>
              <w:jc w:val="center"/>
            </w:pPr>
            <w:r>
              <w:rPr>
                <w:sz w:val="20"/>
                <w:szCs w:val="20"/>
              </w:rPr>
              <w:t>0.39</w:t>
            </w:r>
          </w:p>
        </w:tc>
        <w:tc>
          <w:tcPr>
            <w:tcW w:w="900" w:type="dxa"/>
            <w:shd w:val="clear" w:color="auto" w:fill="F2F2F2"/>
          </w:tcPr>
          <w:p w14:paraId="2B3168A9" w14:textId="77777777" w:rsidR="00864B8A" w:rsidRDefault="0012031E">
            <w:pPr>
              <w:spacing w:before="40" w:after="40"/>
              <w:jc w:val="center"/>
            </w:pPr>
            <w:r>
              <w:rPr>
                <w:sz w:val="20"/>
                <w:szCs w:val="20"/>
              </w:rPr>
              <w:t>0.030</w:t>
            </w:r>
          </w:p>
        </w:tc>
      </w:tr>
      <w:tr w:rsidR="00864B8A" w14:paraId="7131F6CB" w14:textId="77777777">
        <w:tc>
          <w:tcPr>
            <w:tcW w:w="2500" w:type="dxa"/>
            <w:shd w:val="clear" w:color="auto" w:fill="FFFFFF"/>
          </w:tcPr>
          <w:p w14:paraId="193B69C3" w14:textId="77777777" w:rsidR="00864B8A" w:rsidRDefault="0012031E">
            <w:pPr>
              <w:spacing w:before="40" w:after="40"/>
            </w:pPr>
            <w:r>
              <w:rPr>
                <w:b/>
                <w:sz w:val="20"/>
                <w:szCs w:val="20"/>
              </w:rPr>
              <w:t>Long–Short Spread</w:t>
            </w:r>
          </w:p>
        </w:tc>
        <w:tc>
          <w:tcPr>
            <w:tcW w:w="1100" w:type="dxa"/>
            <w:shd w:val="clear" w:color="auto" w:fill="FFFFFF"/>
          </w:tcPr>
          <w:p w14:paraId="1755276C" w14:textId="77777777" w:rsidR="00864B8A" w:rsidRDefault="0012031E">
            <w:pPr>
              <w:spacing w:before="40" w:after="40"/>
              <w:jc w:val="center"/>
            </w:pPr>
            <w:r>
              <w:rPr>
                <w:sz w:val="20"/>
                <w:szCs w:val="20"/>
              </w:rPr>
              <w:t>+1.50%</w:t>
            </w:r>
          </w:p>
        </w:tc>
        <w:tc>
          <w:tcPr>
            <w:tcW w:w="1300" w:type="dxa"/>
            <w:shd w:val="clear" w:color="auto" w:fill="FFFFFF"/>
          </w:tcPr>
          <w:p w14:paraId="38D61BF2" w14:textId="77777777" w:rsidR="00864B8A" w:rsidRDefault="0012031E">
            <w:pPr>
              <w:spacing w:before="40" w:after="40"/>
              <w:jc w:val="center"/>
            </w:pPr>
            <w:r>
              <w:rPr>
                <w:sz w:val="20"/>
                <w:szCs w:val="20"/>
              </w:rPr>
              <w:t>+18.0%***</w:t>
            </w:r>
          </w:p>
        </w:tc>
        <w:tc>
          <w:tcPr>
            <w:tcW w:w="1000" w:type="dxa"/>
            <w:shd w:val="clear" w:color="auto" w:fill="FFFFFF"/>
          </w:tcPr>
          <w:p w14:paraId="08FAF839" w14:textId="77777777" w:rsidR="00864B8A" w:rsidRDefault="0012031E">
            <w:pPr>
              <w:spacing w:before="40" w:after="40"/>
              <w:jc w:val="center"/>
            </w:pPr>
            <w:r>
              <w:rPr>
                <w:sz w:val="20"/>
                <w:szCs w:val="20"/>
              </w:rPr>
              <w:t>3.78</w:t>
            </w:r>
          </w:p>
        </w:tc>
        <w:tc>
          <w:tcPr>
            <w:tcW w:w="1000" w:type="dxa"/>
            <w:shd w:val="clear" w:color="auto" w:fill="FFFFFF"/>
          </w:tcPr>
          <w:p w14:paraId="1F114600" w14:textId="77777777" w:rsidR="00864B8A" w:rsidRDefault="0012031E">
            <w:pPr>
              <w:spacing w:before="40" w:after="40"/>
              <w:jc w:val="center"/>
            </w:pPr>
            <w:r>
              <w:rPr>
                <w:sz w:val="20"/>
                <w:szCs w:val="20"/>
              </w:rPr>
              <w:t>&lt;0.001</w:t>
            </w:r>
          </w:p>
        </w:tc>
        <w:tc>
          <w:tcPr>
            <w:tcW w:w="1100" w:type="dxa"/>
            <w:shd w:val="clear" w:color="auto" w:fill="FFFFFF"/>
          </w:tcPr>
          <w:p w14:paraId="74B736AD" w14:textId="77777777" w:rsidR="00864B8A" w:rsidRDefault="0012031E">
            <w:pPr>
              <w:spacing w:before="40" w:after="40"/>
              <w:jc w:val="center"/>
            </w:pPr>
            <w:r>
              <w:rPr>
                <w:sz w:val="20"/>
                <w:szCs w:val="20"/>
              </w:rPr>
              <w:t>−</w:t>
            </w:r>
            <w:r>
              <w:rPr>
                <w:sz w:val="20"/>
                <w:szCs w:val="20"/>
              </w:rPr>
              <w:t>0.30</w:t>
            </w:r>
          </w:p>
        </w:tc>
        <w:tc>
          <w:tcPr>
            <w:tcW w:w="900" w:type="dxa"/>
            <w:shd w:val="clear" w:color="auto" w:fill="FFFFFF"/>
          </w:tcPr>
          <w:p w14:paraId="33B99265" w14:textId="77777777" w:rsidR="00864B8A" w:rsidRDefault="0012031E">
            <w:pPr>
              <w:spacing w:before="40" w:after="40"/>
              <w:jc w:val="center"/>
            </w:pPr>
            <w:r>
              <w:rPr>
                <w:sz w:val="20"/>
                <w:szCs w:val="20"/>
              </w:rPr>
              <w:t>0.035</w:t>
            </w:r>
          </w:p>
        </w:tc>
      </w:tr>
    </w:tbl>
    <w:p w14:paraId="24D5BC3D" w14:textId="77777777" w:rsidR="00864B8A" w:rsidRDefault="00864B8A">
      <w:pPr>
        <w:spacing w:after="0"/>
      </w:pPr>
    </w:p>
    <w:p w14:paraId="53947BAC" w14:textId="77777777" w:rsidR="009A523D" w:rsidRDefault="009A523D">
      <w:pPr>
        <w:spacing w:before="160" w:after="40" w:line="276" w:lineRule="auto"/>
        <w:rPr>
          <w:b/>
        </w:rPr>
      </w:pPr>
    </w:p>
    <w:p w14:paraId="360E82CB" w14:textId="77777777" w:rsidR="009A523D" w:rsidRDefault="009A523D">
      <w:pPr>
        <w:spacing w:before="160" w:after="40" w:line="276" w:lineRule="auto"/>
        <w:rPr>
          <w:b/>
        </w:rPr>
      </w:pPr>
    </w:p>
    <w:p w14:paraId="091BE154" w14:textId="77777777" w:rsidR="009A523D" w:rsidRDefault="009A523D">
      <w:pPr>
        <w:spacing w:before="160" w:after="40" w:line="276" w:lineRule="auto"/>
        <w:rPr>
          <w:b/>
        </w:rPr>
      </w:pPr>
    </w:p>
    <w:p w14:paraId="51021B62" w14:textId="77777777" w:rsidR="009A523D" w:rsidRDefault="009A523D">
      <w:pPr>
        <w:spacing w:before="160" w:after="40" w:line="276" w:lineRule="auto"/>
        <w:rPr>
          <w:b/>
        </w:rPr>
      </w:pPr>
    </w:p>
    <w:p w14:paraId="57839ECD" w14:textId="77777777" w:rsidR="009A523D" w:rsidRDefault="009A523D">
      <w:pPr>
        <w:spacing w:before="160" w:after="40" w:line="276" w:lineRule="auto"/>
        <w:rPr>
          <w:b/>
        </w:rPr>
      </w:pPr>
    </w:p>
    <w:p w14:paraId="6444EA01" w14:textId="77777777" w:rsidR="009A523D" w:rsidRDefault="009A523D">
      <w:pPr>
        <w:spacing w:before="160" w:after="40" w:line="276" w:lineRule="auto"/>
        <w:rPr>
          <w:b/>
        </w:rPr>
      </w:pPr>
    </w:p>
    <w:p w14:paraId="36A3389E" w14:textId="57A15BA0" w:rsidR="00864B8A" w:rsidRDefault="0012031E">
      <w:pPr>
        <w:spacing w:before="160" w:after="40" w:line="276" w:lineRule="auto"/>
      </w:pPr>
      <w:r>
        <w:rPr>
          <w:b/>
        </w:rPr>
        <w:lastRenderedPageBreak/>
        <w:t>Figure 2: Composite Score Strategy — Cumulative Performance and Rolling Sharpe Ratio</w:t>
      </w:r>
      <w:r>
        <w:br/>
      </w:r>
      <w:r>
        <w:rPr>
          <w:i/>
          <w:sz w:val="20"/>
          <w:szCs w:val="20"/>
        </w:rPr>
        <w:t xml:space="preserve">The top panel plots cumulative return (log scale, $1.00 = January 1996) for the equal-weighted long book (blue), short book (red), long-short spread (green), and CRSP value-weighted market benchmark (gray dashed). The bottom panel shows the 12-month rolling annualized Sharpe ratio of the long-short spread; green shading marks periods with positive rolling Sharpe and red shading marks negative periods. </w:t>
      </w:r>
      <w:r w:rsidR="009A523D">
        <w:rPr>
          <w:noProof/>
        </w:rPr>
        <w:drawing>
          <wp:inline distT="0" distB="0" distL="0" distR="0" wp14:anchorId="0B555E80" wp14:editId="2EDAE721">
            <wp:extent cx="5943600" cy="4095115"/>
            <wp:effectExtent l="0" t="0" r="0" b="635"/>
            <wp:docPr id="193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95115"/>
                    </a:xfrm>
                    <a:prstGeom prst="rect">
                      <a:avLst/>
                    </a:prstGeom>
                    <a:noFill/>
                    <a:ln>
                      <a:noFill/>
                    </a:ln>
                  </pic:spPr>
                </pic:pic>
              </a:graphicData>
            </a:graphic>
          </wp:inline>
        </w:drawing>
      </w:r>
    </w:p>
    <w:p w14:paraId="2EBFD1AD" w14:textId="77777777" w:rsidR="00864B8A" w:rsidRDefault="00864B8A">
      <w:pPr>
        <w:spacing w:after="0"/>
      </w:pPr>
    </w:p>
    <w:p w14:paraId="0FDBB03E" w14:textId="77777777" w:rsidR="00864B8A" w:rsidRDefault="0012031E">
      <w:r>
        <w:t>The long book — the 100 highest-composite-score stocks each month — earns 17.4% annually with a Sharpe ratio of 0.70, outpacing the market’s 10.3% return and 0.56 Sharpe. The short book earns −2.5% per year, confirming that the bottom-scoring stocks underperform on a buy-and-hold basis. The long-short spread earns 12.5% annually with a near-zero market beta of −0.30, indicating that the composite score generates dispersion across the return distribution rather than simply loading on market risk.</w:t>
      </w:r>
    </w:p>
    <w:p w14:paraId="7A04FE8E" w14:textId="77777777" w:rsidR="00864B8A" w:rsidRDefault="0012031E">
      <w:r>
        <w:t xml:space="preserve">The CAPM results in Table 3 are the central finding. The long book generates an annualized alpha of 15.9% (t = 3.56, p &lt; 0.001) and the long-short spread generates 18.0% (t = 3.78, p &lt; 0.001), both statistically significant at the 1% level. The short book’s alpha of −2.1% (t = −0.31) is not significant, indicating that bottom-scoring stocks do not reliably underperform on a risk-adjusted basis — a pattern consistent with limits-to-arbitrage frictions on the short side (Shleifer and Vishny 1997). The low R² </w:t>
      </w:r>
      <w:r>
        <w:lastRenderedPageBreak/>
        <w:t>values across all three portfolios confirm that the composite-score strategy is largely market-neutral by construction.</w:t>
      </w:r>
    </w:p>
    <w:p w14:paraId="2CA68B18" w14:textId="77777777" w:rsidR="00864B8A" w:rsidRDefault="0012031E">
      <w:r>
        <w:t>The rolling 12-month Sharpe ratio in Figure 2 shows that the spread’s outperformance is not confined to a single regime. The strategy earns a positive rolling Sharpe in most calendar years, with notable underperformance concentrated in the 2007–2009 Global Financial Crisis and portions of the early 2010s, periods during which momentum reversals and broad market dislocations likely degraded composite rankings.</w:t>
      </w:r>
    </w:p>
    <w:p w14:paraId="0C32D4CA" w14:textId="77777777" w:rsidR="00864B8A" w:rsidRDefault="0012031E">
      <w:pPr>
        <w:spacing w:before="80" w:after="40"/>
      </w:pPr>
      <w:r>
        <w:rPr>
          <w:b/>
          <w:color w:val="000000"/>
          <w:sz w:val="24"/>
          <w:szCs w:val="24"/>
        </w:rPr>
        <w:t>6.3 Limitations and Interpretation</w:t>
      </w:r>
    </w:p>
    <w:p w14:paraId="1519FE49" w14:textId="77777777" w:rsidR="00864B8A" w:rsidRDefault="0012031E">
      <w:r>
        <w:t>Several caveats apply to the results above. First, the portfolios are equal-weighted across 100 positions, which overweights smaller-capitalization stocks relative to a capitalization-weighted benchmark; value-weighted construction would likely show more modest raw returns and a cleaner test of economic significance. Second, the backtest ignores transaction costs, bid-ask spreads, short-borrowing fees, and market impact, each of which can be material for a monthly-rebalancing strategy. Third, the three-mont</w:t>
      </w:r>
      <w:r>
        <w:t>h reporting lag is a uniform assumption; actual 10-K filing dates vary across firms, so some scores may be available earlier or later than our adjustment implies.</w:t>
      </w:r>
    </w:p>
    <w:p w14:paraId="213CF324" w14:textId="77777777" w:rsidR="00864B8A" w:rsidRDefault="0012031E">
      <w:r>
        <w:t>Despite these caveats, the statistical evidence is meaningful. A long-book alpha t-statistic of 3.56 over 347 months is unlikely to arise by chance, and the near-zero market beta of the long-short spread rules out broad market-risk exposure as the source of returns. We interpret the results as confirming that the five-signal composite score captures genuine cross-sectional predictability in U.S. equity returns, supporting its use as a systematic screening tool within the dashboard.</w:t>
      </w:r>
    </w:p>
    <w:p w14:paraId="3A485D88" w14:textId="77777777" w:rsidR="00864B8A" w:rsidRDefault="0012031E">
      <w:pPr>
        <w:keepNext/>
        <w:spacing w:before="160" w:after="40"/>
      </w:pPr>
      <w:r>
        <w:rPr>
          <w:b/>
          <w:color w:val="000000"/>
          <w:sz w:val="28"/>
        </w:rPr>
        <w:t>7. Limitations and Future Work</w:t>
      </w:r>
    </w:p>
    <w:p w14:paraId="0538FFC1" w14:textId="77777777" w:rsidR="00864B8A" w:rsidRDefault="0012031E">
      <w:pPr>
        <w:keepNext/>
        <w:spacing w:before="80" w:after="40"/>
      </w:pPr>
      <w:r>
        <w:rPr>
          <w:b/>
          <w:color w:val="000000"/>
          <w:sz w:val="24"/>
        </w:rPr>
        <w:t>7.1 Limitations</w:t>
      </w:r>
    </w:p>
    <w:p w14:paraId="76B83E51" w14:textId="77777777" w:rsidR="00864B8A" w:rsidRDefault="0012031E">
      <w:pPr>
        <w:pStyle w:val="ListBullet"/>
        <w:spacing w:after="40"/>
      </w:pPr>
      <w:r>
        <w:t>Stale data. Quantitative signals reflect December 31, 2024 fundamentals; a live-data version would require a non-WRDS provider or an automated pull that handles 2FA.</w:t>
      </w:r>
    </w:p>
    <w:p w14:paraId="153B93E7" w14:textId="77777777" w:rsidR="00864B8A" w:rsidRDefault="0012031E">
      <w:pPr>
        <w:pStyle w:val="ListBullet"/>
        <w:spacing w:after="40"/>
      </w:pPr>
      <w:r>
        <w:t>Transcript coverage. Motley Fool covers most large- and mid-cap U.S. firms but thins for micro-caps, and recent quarters can be paywalled. The dashboard surfaces gaps as N/A rather than imputing.</w:t>
      </w:r>
    </w:p>
    <w:p w14:paraId="29A5BCBE" w14:textId="77777777" w:rsidR="00864B8A" w:rsidRDefault="0012031E">
      <w:pPr>
        <w:pStyle w:val="ListBullet"/>
        <w:spacing w:after="40"/>
      </w:pPr>
      <w:r>
        <w:t>Divergence flag scope. The model occasionally describes contradictions internal to the sentiment series (e.g., rising confidence with falling tone) rather than the intended quant-vs-sentiment mismatch.</w:t>
      </w:r>
    </w:p>
    <w:p w14:paraId="564684DC" w14:textId="77777777" w:rsidR="00864B8A" w:rsidRDefault="0012031E">
      <w:pPr>
        <w:pStyle w:val="ListBullet"/>
        <w:spacing w:after="40"/>
      </w:pPr>
      <w:r>
        <w:lastRenderedPageBreak/>
        <w:t>Single-model dependency. We do not ensemble or self-consistency sample, so each synthesis reflects one draw of model judgement.</w:t>
      </w:r>
    </w:p>
    <w:p w14:paraId="6A63E2D5" w14:textId="77777777" w:rsidR="00864B8A" w:rsidRDefault="0012031E">
      <w:pPr>
        <w:pStyle w:val="ListBullet"/>
        <w:spacing w:after="40"/>
      </w:pPr>
      <w:r>
        <w:t>Sector neutrality. Composite percentiles are universe-wide (only gross profitability is also reported sector-relative). Capital-intensive industries mechanically rank lower on GP regardless of intra-sector quality.</w:t>
      </w:r>
    </w:p>
    <w:p w14:paraId="1501E956" w14:textId="77777777" w:rsidR="00864B8A" w:rsidRDefault="0012031E">
      <w:pPr>
        <w:keepNext/>
        <w:spacing w:before="80" w:after="40"/>
      </w:pPr>
      <w:r>
        <w:rPr>
          <w:b/>
          <w:color w:val="000000"/>
          <w:sz w:val="24"/>
        </w:rPr>
        <w:t>7.2 Future work</w:t>
      </w:r>
    </w:p>
    <w:p w14:paraId="0561478F" w14:textId="77777777" w:rsidR="00864B8A" w:rsidRDefault="0012031E">
      <w:pPr>
        <w:pStyle w:val="ListBullet"/>
        <w:spacing w:after="40"/>
      </w:pPr>
      <w:r>
        <w:t>Live data feed via a non-WRDS provider, removing the staleness caveat.</w:t>
      </w:r>
    </w:p>
    <w:p w14:paraId="0002FF16" w14:textId="77777777" w:rsidR="00864B8A" w:rsidRDefault="0012031E">
      <w:pPr>
        <w:pStyle w:val="ListBullet"/>
        <w:spacing w:after="40"/>
      </w:pPr>
      <w:r>
        <w:t>Extension of the existing backtest to incorporate transaction-cost assumptions, value-weighted construction, and Fama-French five-factor attribution; the current backtest uses equal weights and CAPM only.</w:t>
      </w:r>
    </w:p>
    <w:p w14:paraId="0E00A312" w14:textId="77777777" w:rsidR="00864B8A" w:rsidRDefault="0012031E">
      <w:pPr>
        <w:pStyle w:val="ListBullet"/>
        <w:spacing w:after="40"/>
      </w:pPr>
      <w:r>
        <w:t>Sector-relative composite scoring as a second view.</w:t>
      </w:r>
    </w:p>
    <w:p w14:paraId="497CA63B" w14:textId="77777777" w:rsidR="00864B8A" w:rsidRDefault="0012031E">
      <w:pPr>
        <w:pStyle w:val="ListBullet"/>
        <w:spacing w:after="40"/>
      </w:pPr>
      <w:r>
        <w:t>Tighter divergence detection — programmatic comparison of composite percentile against tone-trend slope before invoking the language model.</w:t>
      </w:r>
    </w:p>
    <w:p w14:paraId="4E02120B" w14:textId="77777777" w:rsidR="00864B8A" w:rsidRDefault="0012031E">
      <w:pPr>
        <w:pStyle w:val="ListBullet"/>
        <w:spacing w:after="40"/>
      </w:pPr>
      <w:r>
        <w:t>Expansion to international equities.</w:t>
      </w:r>
    </w:p>
    <w:p w14:paraId="129EFD88" w14:textId="77777777" w:rsidR="009A523D" w:rsidRDefault="009A523D">
      <w:pPr>
        <w:spacing w:after="200" w:line="276" w:lineRule="auto"/>
        <w:rPr>
          <w:b/>
          <w:color w:val="000000"/>
          <w:sz w:val="28"/>
        </w:rPr>
      </w:pPr>
      <w:r>
        <w:rPr>
          <w:b/>
          <w:color w:val="000000"/>
          <w:sz w:val="28"/>
        </w:rPr>
        <w:br w:type="page"/>
      </w:r>
    </w:p>
    <w:p w14:paraId="407B01AB" w14:textId="42D2233F" w:rsidR="00864B8A" w:rsidRDefault="0012031E">
      <w:pPr>
        <w:keepNext/>
        <w:spacing w:before="160" w:after="40"/>
      </w:pPr>
      <w:r>
        <w:rPr>
          <w:b/>
          <w:color w:val="000000"/>
          <w:sz w:val="28"/>
        </w:rPr>
        <w:lastRenderedPageBreak/>
        <w:t>Bibliography</w:t>
      </w:r>
    </w:p>
    <w:p w14:paraId="49FBD683" w14:textId="77777777" w:rsidR="00864B8A" w:rsidRDefault="0012031E">
      <w:pPr>
        <w:spacing w:after="80" w:line="276" w:lineRule="auto"/>
        <w:ind w:left="720" w:hanging="720"/>
      </w:pPr>
      <w:r>
        <w:t>Anthropic. "Claude API Documentation." Anthropic, 2025, docs.anthropic.com.</w:t>
      </w:r>
    </w:p>
    <w:p w14:paraId="5D612DD0" w14:textId="77777777" w:rsidR="00864B8A" w:rsidRDefault="0012031E">
      <w:pPr>
        <w:spacing w:after="80" w:line="276" w:lineRule="auto"/>
        <w:ind w:left="720" w:hanging="720"/>
      </w:pPr>
      <w:r>
        <w:t>Carhart, Mark M. "On Persistence in Mutual Fund Performance." The Journal of Finance, vol. 52, no. 1, 1997, pp. 57–82.</w:t>
      </w:r>
    </w:p>
    <w:p w14:paraId="742776AD" w14:textId="77777777" w:rsidR="00864B8A" w:rsidRDefault="0012031E">
      <w:pPr>
        <w:spacing w:after="80" w:line="276" w:lineRule="auto"/>
        <w:ind w:left="720" w:hanging="720"/>
      </w:pPr>
      <w:r>
        <w:t>Fama, Eugene F., and Kenneth R. French. "A Five-Factor Asset Pricing Model." Journal of Financial Economics, vol. 116, no. 1, 2015, pp. 1–22.</w:t>
      </w:r>
    </w:p>
    <w:p w14:paraId="2900BD31" w14:textId="77777777" w:rsidR="00864B8A" w:rsidRDefault="0012031E">
      <w:pPr>
        <w:spacing w:after="80" w:line="276" w:lineRule="auto"/>
        <w:ind w:left="720" w:hanging="720"/>
      </w:pPr>
      <w:r>
        <w:t>Hutto, C. J., and Eric Gilbert. "VADER: A Parsimonious Rule-Based Model for Sentiment Analysis of Social Media Text." Proceedings of the Eighth International AAAI Conference on Weblogs and Social Media, 2014.</w:t>
      </w:r>
    </w:p>
    <w:p w14:paraId="1C66BB79" w14:textId="77777777" w:rsidR="00864B8A" w:rsidRDefault="0012031E">
      <w:pPr>
        <w:spacing w:after="80" w:line="276" w:lineRule="auto"/>
        <w:ind w:left="720" w:hanging="720"/>
      </w:pPr>
      <w:r>
        <w:t>Jegadeesh, Narasimhan, and Sheridan Titman. "Returns to Buying Winners and Selling Losers: Implications for Stock Market Efficiency." The Journal of Finance, vol. 48, no. 1, 1993, pp. 65–91.</w:t>
      </w:r>
    </w:p>
    <w:p w14:paraId="2C32CD0D" w14:textId="77777777" w:rsidR="00864B8A" w:rsidRDefault="0012031E">
      <w:pPr>
        <w:spacing w:after="80" w:line="276" w:lineRule="auto"/>
        <w:ind w:left="720" w:hanging="720"/>
      </w:pPr>
      <w:r>
        <w:t>Loughran, Tim, and Bill McDonald. "When Is a Liability Not a Liability? Textual Analysis, Dictionaries, and 10-Ks." The Journal of Finance, vol. 66, no. 1, 2011, pp. 35–65.</w:t>
      </w:r>
    </w:p>
    <w:p w14:paraId="33F13920" w14:textId="77777777" w:rsidR="00864B8A" w:rsidRDefault="0012031E">
      <w:pPr>
        <w:spacing w:after="80" w:line="276" w:lineRule="auto"/>
        <w:ind w:left="720" w:hanging="720"/>
      </w:pPr>
      <w:r>
        <w:t>Novy-Marx, Robert. "The Other Side of Value: The Gross Profitability Premium." Journal of Financial Economics, vol. 108, no. 1, 2013, pp. 1–28.</w:t>
      </w:r>
    </w:p>
    <w:p w14:paraId="48294C74" w14:textId="77777777" w:rsidR="00864B8A" w:rsidRDefault="0012031E">
      <w:pPr>
        <w:spacing w:after="80" w:line="276" w:lineRule="auto"/>
        <w:ind w:left="720" w:hanging="720"/>
      </w:pPr>
      <w:r>
        <w:t>Piotroski, Joseph D. "Value Investing: The Use of Historical Financial Statement Information to Separate Winners from Losers." Journal of Accounting Research, vol. 38, 2000, pp. 1–41.</w:t>
      </w:r>
    </w:p>
    <w:p w14:paraId="7366D115" w14:textId="77777777" w:rsidR="00864B8A" w:rsidRDefault="0012031E">
      <w:pPr>
        <w:spacing w:after="80" w:line="276" w:lineRule="auto"/>
        <w:ind w:left="720" w:hanging="720"/>
      </w:pPr>
      <w:r>
        <w:t>Sloan, Richard G. "Do Stock Prices Fully Reflect Information in Accruals and Cash Flows about Future Earnings?" The Accounting Review, vol. 71, no. 3, 1996, pp. 289–315.</w:t>
      </w:r>
    </w:p>
    <w:p w14:paraId="4A7015C1" w14:textId="77777777" w:rsidR="00864B8A" w:rsidRDefault="0012031E">
      <w:r>
        <w:t>Shleifer, Andrei, and Robert W. Vishny. “The Limits of Arbitrage.” The Journal of Finance, vol. 52, no. 1, 1997, pp. 35–55.</w:t>
      </w:r>
    </w:p>
    <w:sectPr w:rsidR="00864B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147415">
    <w:abstractNumId w:val="8"/>
  </w:num>
  <w:num w:numId="2" w16cid:durableId="1573537793">
    <w:abstractNumId w:val="6"/>
  </w:num>
  <w:num w:numId="3" w16cid:durableId="1689789705">
    <w:abstractNumId w:val="5"/>
  </w:num>
  <w:num w:numId="4" w16cid:durableId="1482700148">
    <w:abstractNumId w:val="4"/>
  </w:num>
  <w:num w:numId="5" w16cid:durableId="11345424">
    <w:abstractNumId w:val="7"/>
  </w:num>
  <w:num w:numId="6" w16cid:durableId="1446579843">
    <w:abstractNumId w:val="3"/>
  </w:num>
  <w:num w:numId="7" w16cid:durableId="2086947448">
    <w:abstractNumId w:val="2"/>
  </w:num>
  <w:num w:numId="8" w16cid:durableId="258830551">
    <w:abstractNumId w:val="1"/>
  </w:num>
  <w:num w:numId="9" w16cid:durableId="1530988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31E"/>
    <w:rsid w:val="0015074B"/>
    <w:rsid w:val="0021692C"/>
    <w:rsid w:val="0029639D"/>
    <w:rsid w:val="00326F90"/>
    <w:rsid w:val="00864B8A"/>
    <w:rsid w:val="009A523D"/>
    <w:rsid w:val="00AA1D8D"/>
    <w:rsid w:val="00B47730"/>
    <w:rsid w:val="00CB0664"/>
    <w:rsid w:val="00FC693F"/>
    <w:rsid w:val="00FE08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C3D7E17-66B6-4698-8371-F291333EE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3818</Words>
  <Characters>21764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Stanley, Blake K</cp:lastModifiedBy>
  <cp:revision>3</cp:revision>
  <dcterms:created xsi:type="dcterms:W3CDTF">2013-12-23T23:15:00Z</dcterms:created>
  <dcterms:modified xsi:type="dcterms:W3CDTF">2026-04-27T20:51:00Z</dcterms:modified>
  <cp:category/>
</cp:coreProperties>
</file>