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229D" w14:textId="77777777" w:rsidR="000A7F55" w:rsidRDefault="000A7F55" w:rsidP="000A7F55">
      <w:pPr>
        <w:jc w:val="center"/>
        <w:rPr>
          <w:b/>
          <w:bCs/>
          <w:sz w:val="28"/>
          <w:szCs w:val="28"/>
        </w:rPr>
      </w:pPr>
    </w:p>
    <w:p w14:paraId="3B42B8FC" w14:textId="77777777" w:rsidR="000A7F55" w:rsidRDefault="000A7F55" w:rsidP="000A7F55">
      <w:pPr>
        <w:jc w:val="center"/>
        <w:rPr>
          <w:b/>
          <w:bCs/>
          <w:sz w:val="28"/>
          <w:szCs w:val="28"/>
        </w:rPr>
      </w:pPr>
    </w:p>
    <w:p w14:paraId="0F2CDDFB" w14:textId="77777777" w:rsidR="000A7F55" w:rsidRDefault="000A7F55" w:rsidP="000A7F55">
      <w:pPr>
        <w:jc w:val="center"/>
        <w:rPr>
          <w:b/>
          <w:bCs/>
          <w:sz w:val="28"/>
          <w:szCs w:val="28"/>
        </w:rPr>
      </w:pPr>
    </w:p>
    <w:p w14:paraId="5F092D13" w14:textId="77777777" w:rsidR="000A7F55" w:rsidRDefault="000A7F55" w:rsidP="000A7F55">
      <w:pPr>
        <w:jc w:val="center"/>
        <w:rPr>
          <w:b/>
          <w:bCs/>
          <w:sz w:val="28"/>
          <w:szCs w:val="28"/>
        </w:rPr>
      </w:pPr>
    </w:p>
    <w:p w14:paraId="40313618" w14:textId="77777777" w:rsidR="000A7F55" w:rsidRDefault="000A7F55" w:rsidP="000A7F55">
      <w:pPr>
        <w:jc w:val="center"/>
        <w:rPr>
          <w:b/>
          <w:bCs/>
          <w:sz w:val="28"/>
          <w:szCs w:val="28"/>
        </w:rPr>
      </w:pPr>
    </w:p>
    <w:p w14:paraId="6746C715" w14:textId="77777777" w:rsidR="000A7F55" w:rsidRDefault="000A7F55" w:rsidP="000A7F55">
      <w:pPr>
        <w:jc w:val="center"/>
        <w:rPr>
          <w:b/>
          <w:bCs/>
          <w:sz w:val="28"/>
          <w:szCs w:val="28"/>
        </w:rPr>
      </w:pPr>
    </w:p>
    <w:p w14:paraId="256FF3C7" w14:textId="77777777" w:rsidR="000A7F55" w:rsidRDefault="000A7F55" w:rsidP="000A7F55">
      <w:pPr>
        <w:jc w:val="center"/>
        <w:rPr>
          <w:b/>
          <w:bCs/>
          <w:sz w:val="28"/>
          <w:szCs w:val="28"/>
        </w:rPr>
      </w:pPr>
    </w:p>
    <w:p w14:paraId="24F48D38" w14:textId="77777777" w:rsidR="000A7F55" w:rsidRDefault="000A7F55" w:rsidP="000A7F55">
      <w:pPr>
        <w:jc w:val="center"/>
        <w:rPr>
          <w:b/>
          <w:bCs/>
          <w:sz w:val="28"/>
          <w:szCs w:val="28"/>
        </w:rPr>
      </w:pPr>
    </w:p>
    <w:p w14:paraId="58B13F0F" w14:textId="77777777" w:rsidR="000A7F55" w:rsidRDefault="000A7F55" w:rsidP="000A7F55">
      <w:pPr>
        <w:jc w:val="center"/>
        <w:rPr>
          <w:b/>
          <w:bCs/>
          <w:sz w:val="28"/>
          <w:szCs w:val="28"/>
        </w:rPr>
      </w:pPr>
    </w:p>
    <w:p w14:paraId="30AC09E1" w14:textId="77777777" w:rsidR="000A7F55" w:rsidRDefault="000A7F55" w:rsidP="000A7F55">
      <w:pPr>
        <w:jc w:val="center"/>
        <w:rPr>
          <w:b/>
          <w:bCs/>
          <w:sz w:val="28"/>
          <w:szCs w:val="28"/>
        </w:rPr>
      </w:pPr>
    </w:p>
    <w:p w14:paraId="09E93F72" w14:textId="20204BFA" w:rsidR="000A7F55" w:rsidRDefault="000A7F55" w:rsidP="000A7F55">
      <w:pPr>
        <w:jc w:val="center"/>
        <w:rPr>
          <w:b/>
          <w:bCs/>
          <w:sz w:val="28"/>
          <w:szCs w:val="28"/>
        </w:rPr>
      </w:pPr>
      <w:r>
        <w:rPr>
          <w:b/>
          <w:bCs/>
          <w:sz w:val="28"/>
          <w:szCs w:val="28"/>
        </w:rPr>
        <w:t xml:space="preserve">Scope of Work Project </w:t>
      </w:r>
      <w:r w:rsidR="000A325D">
        <w:rPr>
          <w:b/>
          <w:bCs/>
          <w:sz w:val="28"/>
          <w:szCs w:val="28"/>
        </w:rPr>
        <w:t>4</w:t>
      </w:r>
    </w:p>
    <w:p w14:paraId="5433A273" w14:textId="3A168776" w:rsidR="000A7F55" w:rsidRDefault="000A7F55" w:rsidP="000A7F55">
      <w:pPr>
        <w:jc w:val="center"/>
        <w:rPr>
          <w:sz w:val="28"/>
          <w:szCs w:val="28"/>
        </w:rPr>
      </w:pPr>
      <w:r>
        <w:rPr>
          <w:sz w:val="28"/>
          <w:szCs w:val="28"/>
        </w:rPr>
        <w:t xml:space="preserve">For: </w:t>
      </w:r>
      <w:r w:rsidR="00472479">
        <w:rPr>
          <w:sz w:val="28"/>
          <w:szCs w:val="28"/>
        </w:rPr>
        <w:t>Risk Averse LLC</w:t>
      </w:r>
    </w:p>
    <w:p w14:paraId="5BEBEBCB" w14:textId="251BDAE9" w:rsidR="000A7F55" w:rsidRDefault="000A7F55" w:rsidP="000A7F55">
      <w:pPr>
        <w:jc w:val="center"/>
        <w:rPr>
          <w:b/>
          <w:bCs/>
          <w:sz w:val="28"/>
          <w:szCs w:val="28"/>
        </w:rPr>
      </w:pPr>
      <w:r w:rsidRPr="67F6931A">
        <w:rPr>
          <w:sz w:val="28"/>
          <w:szCs w:val="28"/>
        </w:rPr>
        <w:t>Author</w:t>
      </w:r>
      <w:r w:rsidR="00CF62CF">
        <w:rPr>
          <w:sz w:val="28"/>
          <w:szCs w:val="28"/>
        </w:rPr>
        <w:t>s</w:t>
      </w:r>
      <w:r w:rsidRPr="67F6931A">
        <w:rPr>
          <w:sz w:val="28"/>
          <w:szCs w:val="28"/>
        </w:rPr>
        <w:t>: Blake Green</w:t>
      </w:r>
      <w:r w:rsidR="00CF62CF">
        <w:rPr>
          <w:sz w:val="28"/>
          <w:szCs w:val="28"/>
        </w:rPr>
        <w:t>, Brock Hoover, Levi Woockman</w:t>
      </w:r>
      <w:r w:rsidRPr="67F6931A">
        <w:rPr>
          <w:b/>
          <w:bCs/>
          <w:sz w:val="28"/>
          <w:szCs w:val="28"/>
        </w:rPr>
        <w:br w:type="page"/>
      </w:r>
    </w:p>
    <w:p w14:paraId="04C1B8AB" w14:textId="77777777" w:rsidR="000A7F55" w:rsidRDefault="000A7F55" w:rsidP="000A7F55">
      <w:pPr>
        <w:rPr>
          <w:b/>
          <w:bCs/>
          <w:sz w:val="28"/>
          <w:szCs w:val="28"/>
        </w:rPr>
      </w:pPr>
      <w:r w:rsidRPr="00F74486">
        <w:rPr>
          <w:b/>
          <w:bCs/>
          <w:sz w:val="28"/>
          <w:szCs w:val="28"/>
        </w:rPr>
        <w:lastRenderedPageBreak/>
        <w:t>Introduction</w:t>
      </w:r>
    </w:p>
    <w:p w14:paraId="35C38E0A" w14:textId="6565E667" w:rsidR="004508DD" w:rsidRDefault="0093301A" w:rsidP="000A7F55">
      <w:r>
        <w:t xml:space="preserve">This project involves conducting a comprehensive risk analysis of natural disasters using the National Risk Index (NRI) to evaluate and compare risk across two states: </w:t>
      </w:r>
      <w:r w:rsidR="00AD0244">
        <w:t>Iowa</w:t>
      </w:r>
      <w:r>
        <w:t xml:space="preserve"> and </w:t>
      </w:r>
      <w:r w:rsidR="00AD0244">
        <w:t>Wisconsin</w:t>
      </w:r>
      <w:r>
        <w:t xml:space="preserve">. </w:t>
      </w:r>
      <w:r w:rsidR="00AD0244">
        <w:t>Iowa</w:t>
      </w:r>
      <w:r>
        <w:t xml:space="preserve"> was selected due to its exposure to </w:t>
      </w:r>
      <w:r w:rsidR="00AD0244">
        <w:t>lightning</w:t>
      </w:r>
      <w:r>
        <w:t xml:space="preserve"> and </w:t>
      </w:r>
      <w:r w:rsidR="00AD0244">
        <w:t>drought</w:t>
      </w:r>
      <w:r>
        <w:t xml:space="preserve"> hazards</w:t>
      </w:r>
      <w:r w:rsidR="00472479">
        <w:t xml:space="preserve">. </w:t>
      </w:r>
      <w:r w:rsidR="00AD0244">
        <w:t>Wisconsin</w:t>
      </w:r>
      <w:r w:rsidR="00472479">
        <w:t xml:space="preserve"> was selected because it will provide good comparisons to </w:t>
      </w:r>
      <w:r w:rsidR="00AD0244">
        <w:t>Iowa</w:t>
      </w:r>
      <w:r w:rsidR="00472479">
        <w:t xml:space="preserve"> due to its similar environmental risks with different social vulnerability and community resilience profiles. The purpose of this is to assess potential biases in the NRI scoring, develop an alternative risk scoring method, and compare the results to the original NRI to give Risk Avers</w:t>
      </w:r>
      <w:r w:rsidR="00332790">
        <w:t xml:space="preserve">e, LLC insights. The NRI defines risk as a combination of Expected Annual Loss, Social Vulnerability, and Community Resilience. Expected Annual Loss measures the anticipated financial and infrastructural losses, Social Vulnerability evaluates </w:t>
      </w:r>
      <w:r w:rsidR="00B26203">
        <w:t xml:space="preserve">risk based on demographic/socioeconomic factors, and Community Resilience reflects the ability of a community to respond and recover from hazards. </w:t>
      </w:r>
      <w:r w:rsidR="00F22FF9">
        <w:t>Risk scores are calculated by integrating hazard probability, exposure, and vulnerability into percentile rankings</w:t>
      </w:r>
      <w:r w:rsidR="009271F7">
        <w:t>.</w:t>
      </w:r>
    </w:p>
    <w:p w14:paraId="0889D83E" w14:textId="5E6DA63C" w:rsidR="00F07E46" w:rsidRPr="004508DD" w:rsidRDefault="00F07E46" w:rsidP="000A7F55">
      <w:r>
        <w:t xml:space="preserve">The NRI calculates risk by combining all the key factors for each Census tract. </w:t>
      </w:r>
      <w:r w:rsidR="006F20C9">
        <w:t>The Expected Annual Loss, Social Vulnerability, and Community Resilience</w:t>
      </w:r>
      <w:r w:rsidR="00173E68">
        <w:t xml:space="preserve"> are all combined to produce percentile rankings</w:t>
      </w:r>
      <w:r w:rsidR="001129F5">
        <w:t xml:space="preserve"> that compare each Census tract to all other communities in the United States. Additionally, each tract is assigned a qualitative rating from “Very Low” to</w:t>
      </w:r>
      <w:r w:rsidR="00B97389">
        <w:t xml:space="preserve"> “Very High” which allows for an easy understanding of the relative risk levels across hazards/locations. This provides the </w:t>
      </w:r>
      <w:r w:rsidR="007F3C2A">
        <w:t>framework for evaluating and comparing risk</w:t>
      </w:r>
      <w:r w:rsidR="0014114D">
        <w:t>.</w:t>
      </w:r>
    </w:p>
    <w:p w14:paraId="6505FF1A" w14:textId="62C225E8" w:rsidR="000A7F55" w:rsidRDefault="000A7F55" w:rsidP="000A7F55">
      <w:pPr>
        <w:rPr>
          <w:b/>
          <w:bCs/>
          <w:sz w:val="28"/>
          <w:szCs w:val="28"/>
        </w:rPr>
      </w:pPr>
      <w:r w:rsidRPr="00F74486">
        <w:rPr>
          <w:b/>
          <w:bCs/>
          <w:sz w:val="28"/>
          <w:szCs w:val="28"/>
        </w:rPr>
        <w:t>Tasks and Completion Plan</w:t>
      </w:r>
    </w:p>
    <w:p w14:paraId="5A9BFE4D" w14:textId="01CC854C" w:rsidR="009271F7" w:rsidRDefault="009271F7" w:rsidP="000A7F55">
      <w:r>
        <w:t>The first part of the project involves acquiring data and preparing that data. Census Tract-</w:t>
      </w:r>
      <w:r w:rsidR="00714C60">
        <w:t xml:space="preserve">level data for </w:t>
      </w:r>
      <w:r w:rsidR="001C7234">
        <w:t>Iowa</w:t>
      </w:r>
      <w:r w:rsidR="00714C60">
        <w:t xml:space="preserve"> and </w:t>
      </w:r>
      <w:r w:rsidR="001C7234">
        <w:t>Wisconsin</w:t>
      </w:r>
      <w:r w:rsidR="00714C60">
        <w:t xml:space="preserve"> will be downloaded from the NRI website as well as any other useful files. The Social Vulnerability Index (SVI) dataset will be downloaded from ASTDR to provide additional vulnerability metrics. Once the data is obtained the data sets will be cleaned to take away any missing or NA values. The NRI and SVI datasets will then be merged to create comprehensive data sets for each state. </w:t>
      </w:r>
    </w:p>
    <w:p w14:paraId="20F3631A" w14:textId="72A923C7" w:rsidR="00791FF5" w:rsidRDefault="00791FF5" w:rsidP="000A7F55">
      <w:r>
        <w:t>To support the analysis, external resources will be used. The FEMA Hazard Mapping Tool will provide information on hazard frequency</w:t>
      </w:r>
      <w:r w:rsidR="0019556B">
        <w:t xml:space="preserve">, exposure, and distribution. The US Census Bureau will supply demographic </w:t>
      </w:r>
      <w:r w:rsidR="00C31D46">
        <w:t>and socioeconomic data that can be used to help the Social Vulnerability metrics</w:t>
      </w:r>
      <w:r w:rsidR="00DD6A6F">
        <w:t xml:space="preserve"> and ensure that they are accurately represented. These resources will help provide a complete analysis</w:t>
      </w:r>
      <w:r w:rsidR="006939FC">
        <w:t>.</w:t>
      </w:r>
    </w:p>
    <w:p w14:paraId="11F87031" w14:textId="39DD4508" w:rsidR="00714C60" w:rsidRDefault="0024097B" w:rsidP="000A7F55">
      <w:r>
        <w:t xml:space="preserve">The next phase involves reviewing the NRI methodology. We will examine how risk is currently defined by the NRI and how percentile rankings and qualitative ratings are calculated for each Census Tract. Using this we can develop an alternative risk scoring </w:t>
      </w:r>
      <w:r>
        <w:lastRenderedPageBreak/>
        <w:t>method</w:t>
      </w:r>
      <w:r w:rsidR="00AD1799">
        <w:t xml:space="preserve"> based on the </w:t>
      </w:r>
      <w:r w:rsidR="008719A2">
        <w:t xml:space="preserve">NRI dataset. This includes researching the </w:t>
      </w:r>
      <w:r w:rsidR="00A22875">
        <w:t>definitions of risk and determining which variables to adjust. This will establish a scoring system that allows us to compare to the NRI. A sen</w:t>
      </w:r>
      <w:r w:rsidR="00ED2E2B">
        <w:t xml:space="preserve">sitivity analysis will need to be performed to examine how changes </w:t>
      </w:r>
      <w:r w:rsidR="00BD7BF6">
        <w:t>in the input factors influence the risk outputs and to identify potential biases between the NRI and alternative methods.</w:t>
      </w:r>
    </w:p>
    <w:p w14:paraId="23F0F560" w14:textId="5999B6A6" w:rsidR="0014114D" w:rsidRPr="009271F7" w:rsidRDefault="00BD7BF6" w:rsidP="000A7F55">
      <w:r>
        <w:t>The final step focuses on analysis</w:t>
      </w:r>
      <w:r w:rsidR="000D1AB0">
        <w:t xml:space="preserve"> and visualizations. </w:t>
      </w:r>
      <w:r w:rsidR="00852373">
        <w:t xml:space="preserve">We will generate two summary tables </w:t>
      </w:r>
      <w:r w:rsidR="007B2676">
        <w:t xml:space="preserve">that compare the risk scores under the NRI definition and the alternative method. At least one map will be created using GeoPandas to communicate risk information to Risk Averse, LLC. We will also </w:t>
      </w:r>
      <w:r w:rsidR="00C6295D">
        <w:t>look at the ethical implications of these definitions, bias between states, and the impact on FEMA funding allocation</w:t>
      </w:r>
      <w:r w:rsidR="006A0C66">
        <w:t>. All steps will be documented in Python code with annotations so that the processes are reproducible.</w:t>
      </w:r>
    </w:p>
    <w:p w14:paraId="32186894" w14:textId="77777777" w:rsidR="000A7F55" w:rsidRPr="00F74486" w:rsidRDefault="000A7F55" w:rsidP="000A7F55">
      <w:pPr>
        <w:rPr>
          <w:b/>
          <w:bCs/>
          <w:sz w:val="28"/>
          <w:szCs w:val="28"/>
        </w:rPr>
      </w:pPr>
      <w:r w:rsidRPr="00F74486">
        <w:rPr>
          <w:b/>
          <w:bCs/>
          <w:sz w:val="28"/>
          <w:szCs w:val="28"/>
        </w:rPr>
        <w:t>Deliverables</w:t>
      </w:r>
    </w:p>
    <w:p w14:paraId="13A7AF08" w14:textId="00383147" w:rsidR="00A2379B" w:rsidRDefault="00A81FC0">
      <w:r>
        <w:t>There are</w:t>
      </w:r>
      <w:r w:rsidR="00DC1460">
        <w:t xml:space="preserve"> multiple deliverables that will be given to the client in a timely manner and completed to satisfaction. All deliverables will be </w:t>
      </w:r>
      <w:r w:rsidR="00FB3566">
        <w:t xml:space="preserve">sent to the client by </w:t>
      </w:r>
      <w:r w:rsidR="00A90A3F">
        <w:t>Tuesday</w:t>
      </w:r>
      <w:r w:rsidR="00FB3566">
        <w:t xml:space="preserve"> </w:t>
      </w:r>
      <w:r w:rsidR="00F06A6B">
        <w:t>April 2</w:t>
      </w:r>
      <w:r w:rsidR="00A90A3F">
        <w:t>1</w:t>
      </w:r>
      <w:r w:rsidR="002F640B" w:rsidRPr="00A90A3F">
        <w:rPr>
          <w:vertAlign w:val="superscript"/>
        </w:rPr>
        <w:t>st</w:t>
      </w:r>
      <w:r w:rsidR="002F640B">
        <w:t xml:space="preserve"> at</w:t>
      </w:r>
      <w:r w:rsidR="00FB3566">
        <w:t xml:space="preserve"> 5 pm. </w:t>
      </w:r>
      <w:r w:rsidR="00CC2147">
        <w:t>All deliverables are listed below:</w:t>
      </w:r>
    </w:p>
    <w:p w14:paraId="70CA37FD" w14:textId="6AC83EDF" w:rsidR="00913379" w:rsidRDefault="00F06A6B" w:rsidP="00CC2147">
      <w:pPr>
        <w:pStyle w:val="ListParagraph"/>
        <w:numPr>
          <w:ilvl w:val="0"/>
          <w:numId w:val="2"/>
        </w:numPr>
      </w:pPr>
      <w:r>
        <w:t>Raw and cleaned data files</w:t>
      </w:r>
    </w:p>
    <w:p w14:paraId="4AF59DA1" w14:textId="04FECED8" w:rsidR="00F06A6B" w:rsidRDefault="00F06A6B" w:rsidP="00CC2147">
      <w:pPr>
        <w:pStyle w:val="ListParagraph"/>
        <w:numPr>
          <w:ilvl w:val="0"/>
          <w:numId w:val="2"/>
        </w:numPr>
      </w:pPr>
      <w:r>
        <w:t>Python code file</w:t>
      </w:r>
    </w:p>
    <w:p w14:paraId="3FEF0627" w14:textId="015B87B3" w:rsidR="00F06A6B" w:rsidRDefault="00F06A6B" w:rsidP="00CC2147">
      <w:pPr>
        <w:pStyle w:val="ListParagraph"/>
        <w:numPr>
          <w:ilvl w:val="0"/>
          <w:numId w:val="2"/>
        </w:numPr>
      </w:pPr>
      <w:r>
        <w:t xml:space="preserve">Annotated Code </w:t>
      </w:r>
      <w:r w:rsidR="00636BF2">
        <w:t>Document</w:t>
      </w:r>
    </w:p>
    <w:p w14:paraId="32833810" w14:textId="4B31BACF" w:rsidR="00636BF2" w:rsidRDefault="00636BF2" w:rsidP="00CC2147">
      <w:pPr>
        <w:pStyle w:val="ListParagraph"/>
        <w:numPr>
          <w:ilvl w:val="0"/>
          <w:numId w:val="2"/>
        </w:numPr>
      </w:pPr>
      <w:r>
        <w:t>Scope of Work</w:t>
      </w:r>
    </w:p>
    <w:p w14:paraId="0289A8EA" w14:textId="56222ECA" w:rsidR="00636BF2" w:rsidRDefault="00636BF2" w:rsidP="00CC2147">
      <w:pPr>
        <w:pStyle w:val="ListParagraph"/>
        <w:numPr>
          <w:ilvl w:val="0"/>
          <w:numId w:val="2"/>
        </w:numPr>
      </w:pPr>
      <w:r>
        <w:t>Gantt Chart</w:t>
      </w:r>
    </w:p>
    <w:p w14:paraId="0E2E8881" w14:textId="6308F3AF" w:rsidR="00636BF2" w:rsidRDefault="00636BF2" w:rsidP="00CC2147">
      <w:pPr>
        <w:pStyle w:val="ListParagraph"/>
        <w:numPr>
          <w:ilvl w:val="0"/>
          <w:numId w:val="2"/>
        </w:numPr>
      </w:pPr>
      <w:r>
        <w:t>Timesheet</w:t>
      </w:r>
    </w:p>
    <w:p w14:paraId="74EF483B" w14:textId="2EA6F140" w:rsidR="00636BF2" w:rsidRDefault="00636BF2" w:rsidP="00CC2147">
      <w:pPr>
        <w:pStyle w:val="ListParagraph"/>
        <w:numPr>
          <w:ilvl w:val="0"/>
          <w:numId w:val="2"/>
        </w:numPr>
      </w:pPr>
      <w:r>
        <w:t>GitHub Repository</w:t>
      </w:r>
    </w:p>
    <w:p w14:paraId="7645924D" w14:textId="1919389C" w:rsidR="00636BF2" w:rsidRDefault="002916A6" w:rsidP="00CC2147">
      <w:pPr>
        <w:pStyle w:val="ListParagraph"/>
        <w:numPr>
          <w:ilvl w:val="0"/>
          <w:numId w:val="2"/>
        </w:numPr>
      </w:pPr>
      <w:r>
        <w:t>Written Report</w:t>
      </w:r>
    </w:p>
    <w:sectPr w:rsidR="00636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4A1"/>
    <w:multiLevelType w:val="hybridMultilevel"/>
    <w:tmpl w:val="06C6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543082"/>
    <w:multiLevelType w:val="hybridMultilevel"/>
    <w:tmpl w:val="425E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989544">
    <w:abstractNumId w:val="0"/>
  </w:num>
  <w:num w:numId="2" w16cid:durableId="1914856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DF"/>
    <w:rsid w:val="00040603"/>
    <w:rsid w:val="0005155E"/>
    <w:rsid w:val="00076719"/>
    <w:rsid w:val="000778C8"/>
    <w:rsid w:val="00095A9B"/>
    <w:rsid w:val="000A0826"/>
    <w:rsid w:val="000A325D"/>
    <w:rsid w:val="000A7F55"/>
    <w:rsid w:val="000B3D95"/>
    <w:rsid w:val="000D1AB0"/>
    <w:rsid w:val="000D2E33"/>
    <w:rsid w:val="001129F5"/>
    <w:rsid w:val="00133B57"/>
    <w:rsid w:val="00135C74"/>
    <w:rsid w:val="0014114D"/>
    <w:rsid w:val="00171B01"/>
    <w:rsid w:val="00173E68"/>
    <w:rsid w:val="0018075B"/>
    <w:rsid w:val="0019556B"/>
    <w:rsid w:val="001C7234"/>
    <w:rsid w:val="001D02B9"/>
    <w:rsid w:val="001E2D4E"/>
    <w:rsid w:val="001F35B0"/>
    <w:rsid w:val="001F5127"/>
    <w:rsid w:val="00213A16"/>
    <w:rsid w:val="002335DF"/>
    <w:rsid w:val="0024097B"/>
    <w:rsid w:val="00257936"/>
    <w:rsid w:val="002916A6"/>
    <w:rsid w:val="002C2925"/>
    <w:rsid w:val="002D2DF5"/>
    <w:rsid w:val="002E3D68"/>
    <w:rsid w:val="002F640B"/>
    <w:rsid w:val="00302924"/>
    <w:rsid w:val="00330515"/>
    <w:rsid w:val="00332790"/>
    <w:rsid w:val="00351F0E"/>
    <w:rsid w:val="00360908"/>
    <w:rsid w:val="00360F1A"/>
    <w:rsid w:val="003F53A7"/>
    <w:rsid w:val="004216B7"/>
    <w:rsid w:val="00445FD1"/>
    <w:rsid w:val="004508DD"/>
    <w:rsid w:val="00453DA2"/>
    <w:rsid w:val="004633A2"/>
    <w:rsid w:val="00472479"/>
    <w:rsid w:val="00480DD0"/>
    <w:rsid w:val="004979DB"/>
    <w:rsid w:val="004C0C9C"/>
    <w:rsid w:val="004C4B4B"/>
    <w:rsid w:val="004D03D2"/>
    <w:rsid w:val="004F4178"/>
    <w:rsid w:val="004F49DB"/>
    <w:rsid w:val="00546386"/>
    <w:rsid w:val="00553370"/>
    <w:rsid w:val="005758A8"/>
    <w:rsid w:val="00593746"/>
    <w:rsid w:val="005A39DC"/>
    <w:rsid w:val="005A5C82"/>
    <w:rsid w:val="00617132"/>
    <w:rsid w:val="00636BF2"/>
    <w:rsid w:val="00655D20"/>
    <w:rsid w:val="00664E99"/>
    <w:rsid w:val="00680589"/>
    <w:rsid w:val="0068288A"/>
    <w:rsid w:val="006939FC"/>
    <w:rsid w:val="006A0C66"/>
    <w:rsid w:val="006D4B2D"/>
    <w:rsid w:val="006E5B1D"/>
    <w:rsid w:val="006F20C9"/>
    <w:rsid w:val="00714C60"/>
    <w:rsid w:val="0074304C"/>
    <w:rsid w:val="0074556E"/>
    <w:rsid w:val="00776EC6"/>
    <w:rsid w:val="007857C6"/>
    <w:rsid w:val="00787594"/>
    <w:rsid w:val="00791FF5"/>
    <w:rsid w:val="007B2676"/>
    <w:rsid w:val="007F3C2A"/>
    <w:rsid w:val="00814FBC"/>
    <w:rsid w:val="00852373"/>
    <w:rsid w:val="008719A2"/>
    <w:rsid w:val="00881EB8"/>
    <w:rsid w:val="008C51AC"/>
    <w:rsid w:val="008D11C3"/>
    <w:rsid w:val="008D61A5"/>
    <w:rsid w:val="008E787E"/>
    <w:rsid w:val="00913379"/>
    <w:rsid w:val="009271F7"/>
    <w:rsid w:val="0093301A"/>
    <w:rsid w:val="0094720E"/>
    <w:rsid w:val="00967194"/>
    <w:rsid w:val="009765A8"/>
    <w:rsid w:val="00991B7F"/>
    <w:rsid w:val="009F602E"/>
    <w:rsid w:val="00A20B4C"/>
    <w:rsid w:val="00A22875"/>
    <w:rsid w:val="00A2379B"/>
    <w:rsid w:val="00A7382C"/>
    <w:rsid w:val="00A81FC0"/>
    <w:rsid w:val="00A90A3F"/>
    <w:rsid w:val="00AA5512"/>
    <w:rsid w:val="00AB039B"/>
    <w:rsid w:val="00AD0244"/>
    <w:rsid w:val="00AD1799"/>
    <w:rsid w:val="00AF3914"/>
    <w:rsid w:val="00B24772"/>
    <w:rsid w:val="00B26203"/>
    <w:rsid w:val="00B32EF2"/>
    <w:rsid w:val="00B97389"/>
    <w:rsid w:val="00BA7278"/>
    <w:rsid w:val="00BB513B"/>
    <w:rsid w:val="00BC2895"/>
    <w:rsid w:val="00BC33C4"/>
    <w:rsid w:val="00BD14AE"/>
    <w:rsid w:val="00BD7BF6"/>
    <w:rsid w:val="00BE6028"/>
    <w:rsid w:val="00C07D0A"/>
    <w:rsid w:val="00C14AA8"/>
    <w:rsid w:val="00C1585F"/>
    <w:rsid w:val="00C26006"/>
    <w:rsid w:val="00C31D46"/>
    <w:rsid w:val="00C46DB5"/>
    <w:rsid w:val="00C6295D"/>
    <w:rsid w:val="00C741A3"/>
    <w:rsid w:val="00C823EC"/>
    <w:rsid w:val="00C84F0B"/>
    <w:rsid w:val="00CA0C93"/>
    <w:rsid w:val="00CC2147"/>
    <w:rsid w:val="00CF1432"/>
    <w:rsid w:val="00CF62CF"/>
    <w:rsid w:val="00D35106"/>
    <w:rsid w:val="00D67F48"/>
    <w:rsid w:val="00D8123C"/>
    <w:rsid w:val="00D866C2"/>
    <w:rsid w:val="00DB7416"/>
    <w:rsid w:val="00DC1460"/>
    <w:rsid w:val="00DD6A6F"/>
    <w:rsid w:val="00E70EEB"/>
    <w:rsid w:val="00EA389C"/>
    <w:rsid w:val="00ED0B73"/>
    <w:rsid w:val="00ED2E2B"/>
    <w:rsid w:val="00F06A6B"/>
    <w:rsid w:val="00F07E46"/>
    <w:rsid w:val="00F22FF9"/>
    <w:rsid w:val="00F377A6"/>
    <w:rsid w:val="00F97EDC"/>
    <w:rsid w:val="00FA466A"/>
    <w:rsid w:val="00FB2D63"/>
    <w:rsid w:val="00FB3566"/>
    <w:rsid w:val="00FB4902"/>
    <w:rsid w:val="00FC668D"/>
    <w:rsid w:val="00FD1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3D26"/>
  <w15:chartTrackingRefBased/>
  <w15:docId w15:val="{4E7C60F8-A1C1-4958-B4A7-803C3AB5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F55"/>
  </w:style>
  <w:style w:type="paragraph" w:styleId="Heading1">
    <w:name w:val="heading 1"/>
    <w:basedOn w:val="Normal"/>
    <w:next w:val="Normal"/>
    <w:link w:val="Heading1Char"/>
    <w:uiPriority w:val="9"/>
    <w:qFormat/>
    <w:rsid w:val="00233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5DF"/>
    <w:rPr>
      <w:rFonts w:eastAsiaTheme="majorEastAsia" w:cstheme="majorBidi"/>
      <w:color w:val="272727" w:themeColor="text1" w:themeTint="D8"/>
    </w:rPr>
  </w:style>
  <w:style w:type="paragraph" w:styleId="Title">
    <w:name w:val="Title"/>
    <w:basedOn w:val="Normal"/>
    <w:next w:val="Normal"/>
    <w:link w:val="TitleChar"/>
    <w:uiPriority w:val="10"/>
    <w:qFormat/>
    <w:rsid w:val="00233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5DF"/>
    <w:pPr>
      <w:spacing w:before="160"/>
      <w:jc w:val="center"/>
    </w:pPr>
    <w:rPr>
      <w:i/>
      <w:iCs/>
      <w:color w:val="404040" w:themeColor="text1" w:themeTint="BF"/>
    </w:rPr>
  </w:style>
  <w:style w:type="character" w:customStyle="1" w:styleId="QuoteChar">
    <w:name w:val="Quote Char"/>
    <w:basedOn w:val="DefaultParagraphFont"/>
    <w:link w:val="Quote"/>
    <w:uiPriority w:val="29"/>
    <w:rsid w:val="002335DF"/>
    <w:rPr>
      <w:i/>
      <w:iCs/>
      <w:color w:val="404040" w:themeColor="text1" w:themeTint="BF"/>
    </w:rPr>
  </w:style>
  <w:style w:type="paragraph" w:styleId="ListParagraph">
    <w:name w:val="List Paragraph"/>
    <w:basedOn w:val="Normal"/>
    <w:uiPriority w:val="34"/>
    <w:qFormat/>
    <w:rsid w:val="002335DF"/>
    <w:pPr>
      <w:ind w:left="720"/>
      <w:contextualSpacing/>
    </w:pPr>
  </w:style>
  <w:style w:type="character" w:styleId="IntenseEmphasis">
    <w:name w:val="Intense Emphasis"/>
    <w:basedOn w:val="DefaultParagraphFont"/>
    <w:uiPriority w:val="21"/>
    <w:qFormat/>
    <w:rsid w:val="002335DF"/>
    <w:rPr>
      <w:i/>
      <w:iCs/>
      <w:color w:val="0F4761" w:themeColor="accent1" w:themeShade="BF"/>
    </w:rPr>
  </w:style>
  <w:style w:type="paragraph" w:styleId="IntenseQuote">
    <w:name w:val="Intense Quote"/>
    <w:basedOn w:val="Normal"/>
    <w:next w:val="Normal"/>
    <w:link w:val="IntenseQuoteChar"/>
    <w:uiPriority w:val="30"/>
    <w:qFormat/>
    <w:rsid w:val="00233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5DF"/>
    <w:rPr>
      <w:i/>
      <w:iCs/>
      <w:color w:val="0F4761" w:themeColor="accent1" w:themeShade="BF"/>
    </w:rPr>
  </w:style>
  <w:style w:type="character" w:styleId="IntenseReference">
    <w:name w:val="Intense Reference"/>
    <w:basedOn w:val="DefaultParagraphFont"/>
    <w:uiPriority w:val="32"/>
    <w:qFormat/>
    <w:rsid w:val="00233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Green</dc:creator>
  <cp:keywords/>
  <dc:description/>
  <cp:lastModifiedBy>Blake Green</cp:lastModifiedBy>
  <cp:revision>6</cp:revision>
  <dcterms:created xsi:type="dcterms:W3CDTF">2026-04-01T23:21:00Z</dcterms:created>
  <dcterms:modified xsi:type="dcterms:W3CDTF">2026-04-20T15:50:00Z</dcterms:modified>
</cp:coreProperties>
</file>