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~$9.5M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0.85 Sharpe ratio (vs 0.77 for UPRO buy-and-hold and 0.81 for plain SPY)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pPr>
        <w:pStyle w:val="ListBullet"/>
      </w:pPr>
      <w:r>
        <w:t>An enhancement: parking idle cash in TLT (long-term Treasuries) instead of T-bills during cooling periods pushes the Sharpe to 0.88 and terminal wealth to $10.4M -- actually beating UPRO buy-and-hold -- by harvesting flight-to-quality rallies when stocks crash. Block-bootstrap analysis confirms TLT's Sharpe advantage is robust: median bootstrapped Sharpe of 0.92 vs 0.89 for T-bill cash.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$9.5 million, a 31.4%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 CAGR turns $100K into nearly 100x in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$9,530,442</w:t>
            </w:r>
          </w:p>
        </w:tc>
      </w:tr>
      <w:tr>
        <w:tc>
          <w:tcPr>
            <w:tcW w:type="dxa" w:w="4392"/>
          </w:tcPr>
          <w:p>
            <w:pPr>
              <w:jc w:val="left"/>
            </w:pPr>
            <w:r>
              <w:rPr>
                <w:sz w:val="18"/>
              </w:rPr>
              <w:t>CAGR</w:t>
            </w:r>
          </w:p>
        </w:tc>
        <w:tc>
          <w:tcPr>
            <w:tcW w:type="dxa" w:w="4392"/>
          </w:tcPr>
          <w:p>
            <w:pPr>
              <w:jc w:val="center"/>
            </w:pPr>
            <w:r>
              <w:rPr>
                <w:sz w:val="18"/>
              </w:rPr>
              <w:t>+31.4%</w:t>
            </w:r>
          </w:p>
        </w:tc>
      </w:tr>
      <w:tr>
        <w:tc>
          <w:tcPr>
            <w:tcW w:type="dxa" w:w="4392"/>
          </w:tcPr>
          <w:p>
            <w:pPr>
              <w:jc w:val="left"/>
            </w:pPr>
            <w:r>
              <w:rPr>
                <w:sz w:val="18"/>
              </w:rPr>
              <w:t>Sharpe Ratio</w:t>
            </w:r>
          </w:p>
        </w:tc>
        <w:tc>
          <w:tcPr>
            <w:tcW w:type="dxa" w:w="4392"/>
          </w:tcPr>
          <w:p>
            <w:pPr>
              <w:jc w:val="center"/>
            </w:pPr>
            <w:r>
              <w:rPr>
                <w:sz w:val="18"/>
              </w:rPr>
              <w:t>0.77</w:t>
            </w:r>
          </w:p>
        </w:tc>
      </w:tr>
      <w:tr>
        <w:tc>
          <w:tcPr>
            <w:tcW w:type="dxa" w:w="4392"/>
          </w:tcPr>
          <w:p>
            <w:pPr>
              <w:jc w:val="left"/>
            </w:pPr>
            <w:r>
              <w:rPr>
                <w:sz w:val="18"/>
              </w:rPr>
              <w:t>Sortino Ratio</w:t>
            </w:r>
          </w:p>
        </w:tc>
        <w:tc>
          <w:tcPr>
            <w:tcW w:type="dxa" w:w="4392"/>
          </w:tcPr>
          <w:p>
            <w:pPr>
              <w:jc w:val="center"/>
            </w:pPr>
            <w:r>
              <w:rPr>
                <w:sz w:val="18"/>
              </w:rPr>
              <w:t>0.95</w:t>
            </w:r>
          </w:p>
        </w:tc>
      </w:tr>
      <w:tr>
        <w:tc>
          <w:tcPr>
            <w:tcW w:type="dxa" w:w="4392"/>
          </w:tcPr>
          <w:p>
            <w:pPr>
              <w:jc w:val="left"/>
            </w:pPr>
            <w:r>
              <w:rPr>
                <w:sz w:val="18"/>
              </w:rPr>
              <w:t>Calmar Ratio</w:t>
            </w:r>
          </w:p>
        </w:tc>
        <w:tc>
          <w:tcPr>
            <w:tcW w:type="dxa" w:w="4392"/>
          </w:tcPr>
          <w:p>
            <w:pPr>
              <w:jc w:val="center"/>
            </w:pPr>
            <w:r>
              <w:rPr>
                <w:sz w:val="18"/>
              </w:rPr>
              <w:t>0.39</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With T-bill cash, no timing strategy in this analysis matches buy-and-hold on total return -- though as I show later, parking idle cash in TLT during cooling periods does beat it. If maximizing terminal wealth is your only goal and you have the iron stomach to hold through a -77% drawdown -- and I mean genuinely hold, not just say you would in a hypothetical -- then buy-and-hold is hard to beat. (For comparison, plain SPY buy-and-hold over the same period has a 0.81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 the run from March 2009 to February 2020, roughly 131 months before it ended with the COVID crash.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 (The 6% margin rate reflects a competitive retail broker rate. Interactive Brokers, the industry's cheapest, currently charges roughly 5-6% all-in depending on account type and balance tier. Most retail brokers charge 8-12%. The all-in rate is the broker's spread over the prevailing benchmark rate, not the spread alone.)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$983,169</w:t>
            </w:r>
          </w:p>
        </w:tc>
        <w:tc>
          <w:tcPr>
            <w:tcW w:type="dxa" w:w="1464"/>
          </w:tcPr>
          <w:p>
            <w:pPr>
              <w:jc w:val="center"/>
            </w:pPr>
            <w:r>
              <w:rPr>
                <w:sz w:val="18"/>
              </w:rPr>
              <w:t>+14.7%</w:t>
            </w:r>
          </w:p>
        </w:tc>
        <w:tc>
          <w:tcPr>
            <w:tcW w:type="dxa" w:w="1464"/>
          </w:tcPr>
          <w:p>
            <w:pPr>
              <w:jc w:val="center"/>
            </w:pPr>
            <w:r>
              <w:rPr>
                <w:sz w:val="18"/>
              </w:rPr>
              <w:t>0.81</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$21,250,484</w:t>
            </w:r>
          </w:p>
        </w:tc>
        <w:tc>
          <w:tcPr>
            <w:tcW w:type="dxa" w:w="1464"/>
          </w:tcPr>
          <w:p>
            <w:pPr>
              <w:jc w:val="center"/>
            </w:pPr>
            <w:r>
              <w:rPr>
                <w:sz w:val="18"/>
              </w:rPr>
              <w:t>+37.9%</w:t>
            </w:r>
          </w:p>
        </w:tc>
        <w:tc>
          <w:tcPr>
            <w:tcW w:type="dxa" w:w="1464"/>
          </w:tcPr>
          <w:p>
            <w:pPr>
              <w:jc w:val="center"/>
            </w:pPr>
            <w:r>
              <w:rPr>
                <w:sz w:val="18"/>
              </w:rPr>
              <w:t>0.86</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$2,880,158</w:t>
            </w:r>
          </w:p>
        </w:tc>
        <w:tc>
          <w:tcPr>
            <w:tcW w:type="dxa" w:w="1464"/>
          </w:tcPr>
          <w:p>
            <w:pPr>
              <w:jc w:val="center"/>
            </w:pPr>
            <w:r>
              <w:rPr>
                <w:sz w:val="18"/>
              </w:rPr>
              <w:t>+22.3%</w:t>
            </w:r>
          </w:p>
        </w:tc>
        <w:tc>
          <w:tcPr>
            <w:tcW w:type="dxa" w:w="1464"/>
          </w:tcPr>
          <w:p>
            <w:pPr>
              <w:jc w:val="center"/>
            </w:pPr>
            <w:r>
              <w:rPr>
                <w:sz w:val="18"/>
              </w:rPr>
              <w:t>0.63</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$2,406,044</w:t>
            </w:r>
          </w:p>
        </w:tc>
        <w:tc>
          <w:tcPr>
            <w:tcW w:type="dxa" w:w="1464"/>
          </w:tcPr>
          <w:p>
            <w:pPr>
              <w:jc w:val="center"/>
            </w:pPr>
            <w:r>
              <w:rPr>
                <w:sz w:val="18"/>
              </w:rPr>
              <w:t>+21.0%</w:t>
            </w:r>
          </w:p>
        </w:tc>
        <w:tc>
          <w:tcPr>
            <w:tcW w:type="dxa" w:w="1464"/>
          </w:tcPr>
          <w:p>
            <w:pPr>
              <w:jc w:val="center"/>
            </w:pPr>
            <w:r>
              <w:rPr>
                <w:sz w:val="18"/>
              </w:rPr>
              <w:t>0.75</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$9,530,442</w:t>
            </w:r>
          </w:p>
        </w:tc>
        <w:tc>
          <w:tcPr>
            <w:tcW w:type="dxa" w:w="1464"/>
          </w:tcPr>
          <w:p>
            <w:pPr>
              <w:jc w:val="center"/>
            </w:pPr>
            <w:r>
              <w:rPr>
                <w:sz w:val="18"/>
              </w:rPr>
              <w:t>+31.4%</w:t>
            </w:r>
          </w:p>
        </w:tc>
        <w:tc>
          <w:tcPr>
            <w:tcW w:type="dxa" w:w="1464"/>
          </w:tcPr>
          <w:p>
            <w:pPr>
              <w:jc w:val="center"/>
            </w:pPr>
            <w:r>
              <w:rPr>
                <w:sz w:val="18"/>
              </w:rPr>
              <w:t>0.77</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$21.3M vs UPRO's $9.5M. That $11.8M gap is the cumulative cost of UPRO's 0.89% expense ratio, rebalancing slippage, and tracking error over 16+ years. Yet UPRO still crushes margin-based leverage ($2.9M for daily-rebalanced, $2.4M for static) because its embedded borrowing costs are far lower than retail margin rates -- even at the cheapest broker available.</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w:t>
      </w:r>
    </w:p>
    <w:p>
      <w:r>
        <w:t xml:space="preserve">The full 1950-2026 case is the most instructive. Despite the S&amp;P 500 compounding at +8.2% annually for 76 years, the static 3x account got margin-called during the 1973-74 bear market -- </w:t>
      </w:r>
      <w:r>
        <w:rPr>
          <w:i/>
        </w:rPr>
        <w:t>24 years</w:t>
      </w:r>
      <w:r>
        <w:t xml:space="preserve"> after inception. Here's how: the initial $200K loan compounds at 6% annually, growing to approximately $875K by 1974. Meanwhile, the S&amp;P rose from 17 to a peak of ~120 before crashing to ~64 during the 1973-74 bear market. The account's peak equity reached $1.37M, but by the time the S&amp;P had dropped ~47%, the position value ($1.14M) minus the swollen debt ($875K) left only $269K in equity -- below the 25% maintenance requirement on the position. The margin call fires, the position is liquidated, and the account sits in cash for the remaining 52 years while unlevered S&amp;P 500 grew to $41.3 million. The lesson: even massive accumulated gains cannot overcome the slow poison of compounding interest on a static loan when a severe bear market eventually arrives.</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(2000-2009),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 During the test period (June 2009 to March 2026), VIX ranged from 9 to 83, with a median of 17 and a mean of 19. The 25th percentile was 14, the 75th percentile was 22, and VIX spent 86% of trading days below 25.</w:t>
      </w:r>
    </w:p>
    <w:p>
      <w:r>
        <w:t>The problem is that VIX is reactive, not predictive. By the time VIX spikes above 25 (which happens only 14% of trading days), you've already taken the first leg of the drawdown. And VIX often stays elevated during the early stages of recovery, causing you to miss the bounce.</w:t>
      </w:r>
    </w:p>
    <w:p>
      <w:r>
        <w:t>The best VIX variant (VIX &lt; 30) produced a $4.0M end value with a 0.71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$570K. CAGR: +11.0%. Sharpe: 0.45.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$3.2M. CAGR: +23.1%. Sharpe: 0.82. Sortino: 1.07. Max drawdown: -70.5%. The 67 "trades" are quarterly rebalancing events (adjusting the 55/45 allocation every ~63 trading days), not round-trip trades.</w:t>
      </w:r>
    </w:p>
    <w:p>
      <w:r>
        <w:t>HFEA has the best Sortino ratio among the five base strategies (1.07) -- meaning it handles downside volatility particularly well relative to its upside. (The DD25%/Cool40+TLT variant introduced later edges it at 1.12.)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$649K</w:t>
            </w:r>
          </w:p>
        </w:tc>
        <w:tc>
          <w:tcPr>
            <w:tcW w:type="dxa" w:w="1255"/>
          </w:tcPr>
          <w:p>
            <w:pPr>
              <w:jc w:val="center"/>
            </w:pPr>
            <w:r>
              <w:rPr>
                <w:sz w:val="18"/>
              </w:rPr>
              <w:t>+11.9%</w:t>
            </w:r>
          </w:p>
        </w:tc>
        <w:tc>
          <w:tcPr>
            <w:tcW w:type="dxa" w:w="1255"/>
          </w:tcPr>
          <w:p>
            <w:pPr>
              <w:jc w:val="center"/>
            </w:pPr>
            <w:r>
              <w:rPr>
                <w:sz w:val="18"/>
              </w:rPr>
              <w:t>0.46</w:t>
            </w:r>
          </w:p>
        </w:tc>
        <w:tc>
          <w:tcPr>
            <w:tcW w:type="dxa" w:w="1255"/>
          </w:tcPr>
          <w:p>
            <w:pPr>
              <w:jc w:val="center"/>
            </w:pPr>
            <w:r>
              <w:rPr>
                <w:sz w:val="18"/>
              </w:rPr>
              <w:t>-55.9%</w:t>
            </w:r>
          </w:p>
        </w:tc>
        <w:tc>
          <w:tcPr>
            <w:tcW w:type="dxa" w:w="1255"/>
          </w:tcPr>
          <w:p>
            <w:pPr>
              <w:jc w:val="center"/>
            </w:pPr>
            <w:r>
              <w:rPr>
                <w:sz w:val="18"/>
              </w:rPr>
              <w:t>156</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$1.9M</w:t>
            </w:r>
          </w:p>
        </w:tc>
        <w:tc>
          <w:tcPr>
            <w:tcW w:type="dxa" w:w="1255"/>
          </w:tcPr>
          <w:p>
            <w:pPr>
              <w:jc w:val="center"/>
            </w:pPr>
            <w:r>
              <w:rPr>
                <w:sz w:val="18"/>
              </w:rPr>
              <w:t>+19.3%</w:t>
            </w:r>
          </w:p>
        </w:tc>
        <w:tc>
          <w:tcPr>
            <w:tcW w:type="dxa" w:w="1255"/>
          </w:tcPr>
          <w:p>
            <w:pPr>
              <w:jc w:val="center"/>
            </w:pPr>
            <w:r>
              <w:rPr>
                <w:sz w:val="18"/>
              </w:rPr>
              <w:t>0.70</w:t>
            </w:r>
          </w:p>
        </w:tc>
        <w:tc>
          <w:tcPr>
            <w:tcW w:type="dxa" w:w="1255"/>
          </w:tcPr>
          <w:p>
            <w:pPr>
              <w:jc w:val="center"/>
            </w:pPr>
            <w:r>
              <w:rPr>
                <w:sz w:val="18"/>
              </w:rPr>
              <w:t>-52.4%</w:t>
            </w:r>
          </w:p>
        </w:tc>
        <w:tc>
          <w:tcPr>
            <w:tcW w:type="dxa" w:w="1255"/>
          </w:tcPr>
          <w:p>
            <w:pPr>
              <w:jc w:val="center"/>
            </w:pPr>
            <w:r>
              <w:rPr>
                <w:sz w:val="18"/>
              </w:rPr>
              <w:t>120</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$1.5M</w:t>
            </w:r>
          </w:p>
        </w:tc>
        <w:tc>
          <w:tcPr>
            <w:tcW w:type="dxa" w:w="1255"/>
          </w:tcPr>
          <w:p>
            <w:pPr>
              <w:jc w:val="center"/>
            </w:pPr>
            <w:r>
              <w:rPr>
                <w:sz w:val="18"/>
              </w:rPr>
              <w:t>+17.4%</w:t>
            </w:r>
          </w:p>
        </w:tc>
        <w:tc>
          <w:tcPr>
            <w:tcW w:type="dxa" w:w="1255"/>
          </w:tcPr>
          <w:p>
            <w:pPr>
              <w:jc w:val="center"/>
            </w:pPr>
            <w:r>
              <w:rPr>
                <w:sz w:val="18"/>
              </w:rPr>
              <w:t>0.68</w:t>
            </w:r>
          </w:p>
        </w:tc>
        <w:tc>
          <w:tcPr>
            <w:tcW w:type="dxa" w:w="1255"/>
          </w:tcPr>
          <w:p>
            <w:pPr>
              <w:jc w:val="center"/>
            </w:pPr>
            <w:r>
              <w:rPr>
                <w:sz w:val="18"/>
              </w:rPr>
              <w:t>-45.1%</w:t>
            </w:r>
          </w:p>
        </w:tc>
        <w:tc>
          <w:tcPr>
            <w:tcW w:type="dxa" w:w="1255"/>
          </w:tcPr>
          <w:p>
            <w:pPr>
              <w:jc w:val="center"/>
            </w:pPr>
            <w:r>
              <w:rPr>
                <w:sz w:val="18"/>
              </w:rPr>
              <w:t>104</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$1.4M</w:t>
            </w:r>
          </w:p>
        </w:tc>
        <w:tc>
          <w:tcPr>
            <w:tcW w:type="dxa" w:w="1255"/>
          </w:tcPr>
          <w:p>
            <w:pPr>
              <w:jc w:val="center"/>
            </w:pPr>
            <w:r>
              <w:rPr>
                <w:sz w:val="18"/>
              </w:rPr>
              <w:t>+17.1%</w:t>
            </w:r>
          </w:p>
        </w:tc>
        <w:tc>
          <w:tcPr>
            <w:tcW w:type="dxa" w:w="1255"/>
          </w:tcPr>
          <w:p>
            <w:pPr>
              <w:jc w:val="center"/>
            </w:pPr>
            <w:r>
              <w:rPr>
                <w:sz w:val="18"/>
              </w:rPr>
              <w:t>0.57</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$1.8M</w:t>
            </w:r>
          </w:p>
        </w:tc>
        <w:tc>
          <w:tcPr>
            <w:tcW w:type="dxa" w:w="1255"/>
          </w:tcPr>
          <w:p>
            <w:pPr>
              <w:jc w:val="center"/>
            </w:pPr>
            <w:r>
              <w:rPr>
                <w:sz w:val="18"/>
              </w:rPr>
              <w:t>+19.1%</w:t>
            </w:r>
          </w:p>
        </w:tc>
        <w:tc>
          <w:tcPr>
            <w:tcW w:type="dxa" w:w="1255"/>
          </w:tcPr>
          <w:p>
            <w:pPr>
              <w:jc w:val="center"/>
            </w:pPr>
            <w:r>
              <w:rPr>
                <w:sz w:val="18"/>
              </w:rPr>
              <w:t>0.64</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$414K</w:t>
            </w:r>
          </w:p>
        </w:tc>
        <w:tc>
          <w:tcPr>
            <w:tcW w:type="dxa" w:w="1255"/>
          </w:tcPr>
          <w:p>
            <w:pPr>
              <w:jc w:val="center"/>
            </w:pPr>
            <w:r>
              <w:rPr>
                <w:sz w:val="18"/>
              </w:rPr>
              <w:t>+8.9%</w:t>
            </w:r>
          </w:p>
        </w:tc>
        <w:tc>
          <w:tcPr>
            <w:tcW w:type="dxa" w:w="1255"/>
          </w:tcPr>
          <w:p>
            <w:pPr>
              <w:jc w:val="center"/>
            </w:pPr>
            <w:r>
              <w:rPr>
                <w:sz w:val="18"/>
              </w:rPr>
              <w:t>0.39</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$9.3M</w:t>
            </w:r>
          </w:p>
        </w:tc>
        <w:tc>
          <w:tcPr>
            <w:tcW w:type="dxa" w:w="1255"/>
          </w:tcPr>
          <w:p>
            <w:pPr>
              <w:jc w:val="center"/>
            </w:pPr>
            <w:r>
              <w:rPr>
                <w:sz w:val="18"/>
              </w:rPr>
              <w:t>+31.2%</w:t>
            </w:r>
          </w:p>
        </w:tc>
        <w:tc>
          <w:tcPr>
            <w:tcW w:type="dxa" w:w="1255"/>
          </w:tcPr>
          <w:p>
            <w:pPr>
              <w:jc w:val="center"/>
            </w:pPr>
            <w:r>
              <w:rPr>
                <w:sz w:val="18"/>
              </w:rPr>
              <w:t>0.84</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$3.8M</w:t>
            </w:r>
          </w:p>
        </w:tc>
        <w:tc>
          <w:tcPr>
            <w:tcW w:type="dxa" w:w="1255"/>
          </w:tcPr>
          <w:p>
            <w:pPr>
              <w:jc w:val="center"/>
            </w:pPr>
            <w:r>
              <w:rPr>
                <w:sz w:val="18"/>
              </w:rPr>
              <w:t>+24.3%</w:t>
            </w:r>
          </w:p>
        </w:tc>
        <w:tc>
          <w:tcPr>
            <w:tcW w:type="dxa" w:w="1255"/>
          </w:tcPr>
          <w:p>
            <w:pPr>
              <w:jc w:val="center"/>
            </w:pPr>
            <w:r>
              <w:rPr>
                <w:sz w:val="18"/>
              </w:rPr>
              <w:t>0.74</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$863K</w:t>
            </w:r>
          </w:p>
        </w:tc>
        <w:tc>
          <w:tcPr>
            <w:tcW w:type="dxa" w:w="1255"/>
          </w:tcPr>
          <w:p>
            <w:pPr>
              <w:jc w:val="center"/>
            </w:pPr>
            <w:r>
              <w:rPr>
                <w:sz w:val="18"/>
              </w:rPr>
              <w:t>+13.8%</w:t>
            </w:r>
          </w:p>
        </w:tc>
        <w:tc>
          <w:tcPr>
            <w:tcW w:type="dxa" w:w="1255"/>
          </w:tcPr>
          <w:p>
            <w:pPr>
              <w:jc w:val="center"/>
            </w:pPr>
            <w:r>
              <w:rPr>
                <w:sz w:val="18"/>
              </w:rPr>
              <w:t>0.52</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$9.4M</w:t>
            </w:r>
          </w:p>
        </w:tc>
        <w:tc>
          <w:tcPr>
            <w:tcW w:type="dxa" w:w="1255"/>
          </w:tcPr>
          <w:p>
            <w:pPr>
              <w:jc w:val="center"/>
            </w:pPr>
            <w:r>
              <w:rPr>
                <w:sz w:val="18"/>
              </w:rPr>
              <w:t>+31.3%</w:t>
            </w:r>
          </w:p>
        </w:tc>
        <w:tc>
          <w:tcPr>
            <w:tcW w:type="dxa" w:w="1255"/>
          </w:tcPr>
          <w:p>
            <w:pPr>
              <w:jc w:val="center"/>
            </w:pPr>
            <w:r>
              <w:rPr>
                <w:sz w:val="18"/>
              </w:rPr>
              <w:t>0.82</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$1.9M</w:t>
            </w:r>
          </w:p>
        </w:tc>
        <w:tc>
          <w:tcPr>
            <w:tcW w:type="dxa" w:w="1255"/>
          </w:tcPr>
          <w:p>
            <w:pPr>
              <w:jc w:val="center"/>
            </w:pPr>
            <w:r>
              <w:rPr>
                <w:sz w:val="18"/>
              </w:rPr>
              <w:t>+19.4%</w:t>
            </w:r>
          </w:p>
        </w:tc>
        <w:tc>
          <w:tcPr>
            <w:tcW w:type="dxa" w:w="1255"/>
          </w:tcPr>
          <w:p>
            <w:pPr>
              <w:jc w:val="center"/>
            </w:pPr>
            <w:r>
              <w:rPr>
                <w:sz w:val="18"/>
              </w:rPr>
              <w:t>0.64</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$414K end value is dramatically worse than nearby variants ($1.8M for DD15%/Cool40, $1.4M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0.74.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$1.1 million in terminal wealth (12% of buy-and-hold's end value) in exchange for a maximum drawdown that's </w:t>
      </w:r>
      <w:r>
        <w:rPr>
          <w:b/>
        </w:rPr>
        <w:t>35 percentage points better</w:t>
      </w:r>
      <w:r>
        <w:t xml:space="preserve"> (-41.8% vs -76.8%). The Sharpe ratio improved from 0.77 to 0.85 over this test period. 31 trade signals (~15 round trips) over 16+ years.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$1.1M end value, +15.5% CAGR, 0.55 Sharpe, -61.1% max DD. Composite 3-of-3: $836K, +13.6% CAGR, 0.55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$9.5M</w:t>
            </w:r>
          </w:p>
        </w:tc>
        <w:tc>
          <w:tcPr>
            <w:tcW w:type="dxa" w:w="1255"/>
          </w:tcPr>
          <w:p>
            <w:pPr>
              <w:jc w:val="center"/>
            </w:pPr>
            <w:r>
              <w:rPr>
                <w:b/>
                <w:sz w:val="18"/>
              </w:rPr>
              <w:t>+31.4%</w:t>
            </w:r>
          </w:p>
        </w:tc>
        <w:tc>
          <w:tcPr>
            <w:tcW w:type="dxa" w:w="1255"/>
          </w:tcPr>
          <w:p>
            <w:pPr>
              <w:jc w:val="center"/>
            </w:pPr>
            <w:r>
              <w:rPr>
                <w:b/>
                <w:sz w:val="18"/>
              </w:rPr>
              <w:t>0.77</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0.71</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$570K</w:t>
            </w:r>
          </w:p>
        </w:tc>
        <w:tc>
          <w:tcPr>
            <w:tcW w:type="dxa" w:w="1255"/>
          </w:tcPr>
          <w:p>
            <w:pPr>
              <w:jc w:val="center"/>
            </w:pPr>
            <w:r>
              <w:rPr>
                <w:sz w:val="18"/>
              </w:rPr>
              <w:t>+11.0%</w:t>
            </w:r>
          </w:p>
        </w:tc>
        <w:tc>
          <w:tcPr>
            <w:tcW w:type="dxa" w:w="1255"/>
          </w:tcPr>
          <w:p>
            <w:pPr>
              <w:jc w:val="center"/>
            </w:pPr>
            <w:r>
              <w:rPr>
                <w:sz w:val="18"/>
              </w:rPr>
              <w:t>0.45</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$3.2M</w:t>
            </w:r>
          </w:p>
        </w:tc>
        <w:tc>
          <w:tcPr>
            <w:tcW w:type="dxa" w:w="1255"/>
          </w:tcPr>
          <w:p>
            <w:pPr>
              <w:jc w:val="center"/>
            </w:pPr>
            <w:r>
              <w:rPr>
                <w:sz w:val="18"/>
              </w:rPr>
              <w:t>+23.1%</w:t>
            </w:r>
          </w:p>
        </w:tc>
        <w:tc>
          <w:tcPr>
            <w:tcW w:type="dxa" w:w="1255"/>
          </w:tcPr>
          <w:p>
            <w:pPr>
              <w:jc w:val="center"/>
            </w:pPr>
            <w:r>
              <w:rPr>
                <w:sz w:val="18"/>
              </w:rPr>
              <w:t>0.82</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$1.1M</w:t>
            </w:r>
          </w:p>
        </w:tc>
        <w:tc>
          <w:tcPr>
            <w:tcW w:type="dxa" w:w="1255"/>
          </w:tcPr>
          <w:p>
            <w:pPr>
              <w:jc w:val="center"/>
            </w:pPr>
            <w:r>
              <w:rPr>
                <w:sz w:val="18"/>
              </w:rPr>
              <w:t>+15.5%</w:t>
            </w:r>
          </w:p>
        </w:tc>
        <w:tc>
          <w:tcPr>
            <w:tcW w:type="dxa" w:w="1255"/>
          </w:tcPr>
          <w:p>
            <w:pPr>
              <w:jc w:val="center"/>
            </w:pPr>
            <w:r>
              <w:rPr>
                <w:sz w:val="18"/>
              </w:rPr>
              <w:t>0.55</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by 35 percentage points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(0.82)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0.85 Sharpe sits at the peak of a broad green plateau. Adjacent cells DD20-25%/Cool20-40 all produce Sharpe ratios above 0.74. You can shift the threshold by 5 percentage points or the cooling period by 10 days in either direction and still get strong risk-adjusted performance. This is not a fragile optimum -- it's a broad plateau of strong performance within this test period.</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29.5% CAGR, 0.74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+29.5%</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0.74</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20.9% CAGR vs 20.6% CAGR, with a 0.61 Sharpe vs 0.57.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-0.08</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-0.27</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$49.1M</w:t>
            </w:r>
          </w:p>
        </w:tc>
        <w:tc>
          <w:tcPr>
            <w:tcW w:type="dxa" w:w="1464"/>
          </w:tcPr>
          <w:p>
            <w:pPr>
              <w:jc w:val="center"/>
            </w:pPr>
            <w:r>
              <w:rPr>
                <w:sz w:val="18"/>
              </w:rPr>
              <w:t>+20.6%</w:t>
            </w:r>
          </w:p>
        </w:tc>
        <w:tc>
          <w:tcPr>
            <w:tcW w:type="dxa" w:w="1464"/>
          </w:tcPr>
          <w:p>
            <w:pPr>
              <w:jc w:val="center"/>
            </w:pPr>
            <w:r>
              <w:rPr>
                <w:sz w:val="18"/>
              </w:rPr>
              <w:t>0.57</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$53.4M</w:t>
            </w:r>
          </w:p>
        </w:tc>
        <w:tc>
          <w:tcPr>
            <w:tcW w:type="dxa" w:w="1464"/>
          </w:tcPr>
          <w:p>
            <w:pPr>
              <w:jc w:val="center"/>
            </w:pPr>
            <w:r>
              <w:rPr>
                <w:sz w:val="18"/>
              </w:rPr>
              <w:t>+20.9%</w:t>
            </w:r>
          </w:p>
        </w:tc>
        <w:tc>
          <w:tcPr>
            <w:tcW w:type="dxa" w:w="1464"/>
          </w:tcPr>
          <w:p>
            <w:pPr>
              <w:jc w:val="center"/>
            </w:pPr>
            <w:r>
              <w:rPr>
                <w:sz w:val="18"/>
              </w:rPr>
              <w:t>0.61</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$8.4M</w:t>
            </w:r>
          </w:p>
        </w:tc>
        <w:tc>
          <w:tcPr>
            <w:tcW w:type="dxa" w:w="1757"/>
          </w:tcPr>
          <w:p>
            <w:pPr>
              <w:jc w:val="center"/>
            </w:pPr>
            <w:r>
              <w:rPr>
                <w:sz w:val="18"/>
              </w:rPr>
              <w:t>+30.5%</w:t>
            </w:r>
          </w:p>
        </w:tc>
        <w:tc>
          <w:tcPr>
            <w:tcW w:type="dxa" w:w="1757"/>
          </w:tcPr>
          <w:p>
            <w:pPr>
              <w:jc w:val="center"/>
            </w:pPr>
            <w:r>
              <w:rPr>
                <w:sz w:val="18"/>
              </w:rPr>
              <w:t>0.85</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$4.3M</w:t>
            </w:r>
          </w:p>
        </w:tc>
        <w:tc>
          <w:tcPr>
            <w:tcW w:type="dxa" w:w="1757"/>
          </w:tcPr>
          <w:p>
            <w:pPr>
              <w:jc w:val="center"/>
            </w:pPr>
            <w:r>
              <w:rPr>
                <w:sz w:val="18"/>
              </w:rPr>
              <w:t>+25.3%</w:t>
            </w:r>
          </w:p>
        </w:tc>
        <w:tc>
          <w:tcPr>
            <w:tcW w:type="dxa" w:w="1757"/>
          </w:tcPr>
          <w:p>
            <w:pPr>
              <w:jc w:val="center"/>
            </w:pPr>
            <w:r>
              <w:rPr>
                <w:sz w:val="18"/>
              </w:rPr>
              <w:t>0.76</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$2.1M</w:t>
            </w:r>
          </w:p>
        </w:tc>
        <w:tc>
          <w:tcPr>
            <w:tcW w:type="dxa" w:w="1757"/>
          </w:tcPr>
          <w:p>
            <w:pPr>
              <w:jc w:val="center"/>
            </w:pPr>
            <w:r>
              <w:rPr>
                <w:sz w:val="18"/>
              </w:rPr>
              <w:t>+20.2%</w:t>
            </w:r>
          </w:p>
        </w:tc>
        <w:tc>
          <w:tcPr>
            <w:tcW w:type="dxa" w:w="1757"/>
          </w:tcPr>
          <w:p>
            <w:pPr>
              <w:jc w:val="center"/>
            </w:pPr>
            <w:r>
              <w:rPr>
                <w:sz w:val="18"/>
              </w:rPr>
              <w:t>0.65</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$1.5M</w:t>
            </w:r>
          </w:p>
        </w:tc>
        <w:tc>
          <w:tcPr>
            <w:tcW w:type="dxa" w:w="1757"/>
          </w:tcPr>
          <w:p>
            <w:pPr>
              <w:jc w:val="center"/>
            </w:pPr>
            <w:r>
              <w:rPr>
                <w:sz w:val="18"/>
              </w:rPr>
              <w:t>+17.7%</w:t>
            </w:r>
          </w:p>
        </w:tc>
        <w:tc>
          <w:tcPr>
            <w:tcW w:type="dxa" w:w="1757"/>
          </w:tcPr>
          <w:p>
            <w:pPr>
              <w:jc w:val="center"/>
            </w:pPr>
            <w:r>
              <w:rPr>
                <w:sz w:val="18"/>
              </w:rPr>
              <w:t>0.60</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$2.6M</w:t>
            </w:r>
          </w:p>
        </w:tc>
        <w:tc>
          <w:tcPr>
            <w:tcW w:type="dxa" w:w="1255"/>
          </w:tcPr>
          <w:p>
            <w:pPr>
              <w:jc w:val="center"/>
            </w:pPr>
            <w:r>
              <w:rPr>
                <w:sz w:val="18"/>
              </w:rPr>
              <w:t>+21.5%</w:t>
            </w:r>
          </w:p>
        </w:tc>
        <w:tc>
          <w:tcPr>
            <w:tcW w:type="dxa" w:w="1255"/>
          </w:tcPr>
          <w:p>
            <w:pPr>
              <w:jc w:val="center"/>
            </w:pPr>
            <w:r>
              <w:rPr>
                <w:sz w:val="18"/>
              </w:rPr>
              <w:t>0.72</w:t>
            </w:r>
          </w:p>
        </w:tc>
        <w:tc>
          <w:tcPr>
            <w:tcW w:type="dxa" w:w="1255"/>
          </w:tcPr>
          <w:p>
            <w:pPr>
              <w:jc w:val="center"/>
            </w:pPr>
            <w:r>
              <w:rPr>
                <w:sz w:val="18"/>
              </w:rPr>
              <w:t>-46.0%</w:t>
            </w:r>
          </w:p>
        </w:tc>
        <w:tc>
          <w:tcPr>
            <w:tcW w:type="dxa" w:w="1255"/>
          </w:tcPr>
          <w:p>
            <w:pPr>
              <w:jc w:val="center"/>
            </w:pPr>
            <w:r>
              <w:rPr>
                <w:sz w:val="18"/>
              </w:rPr>
              <w:t>170</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$784K</w:t>
            </w:r>
          </w:p>
        </w:tc>
        <w:tc>
          <w:tcPr>
            <w:tcW w:type="dxa" w:w="1255"/>
          </w:tcPr>
          <w:p>
            <w:pPr>
              <w:jc w:val="center"/>
            </w:pPr>
            <w:r>
              <w:rPr>
                <w:sz w:val="18"/>
              </w:rPr>
              <w:t>+13.2%</w:t>
            </w:r>
          </w:p>
        </w:tc>
        <w:tc>
          <w:tcPr>
            <w:tcW w:type="dxa" w:w="1255"/>
          </w:tcPr>
          <w:p>
            <w:pPr>
              <w:jc w:val="center"/>
            </w:pPr>
            <w:r>
              <w:rPr>
                <w:sz w:val="18"/>
              </w:rPr>
              <w:t>0.49</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21.5% CAGR with a 0.72 Sharpe and -46.0% max drawdown -- but it still trails the drawdown exit by 9 percentage points of CAGR with a worse Sharpe.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only 36%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$8.4M</w:t>
            </w:r>
          </w:p>
        </w:tc>
        <w:tc>
          <w:tcPr>
            <w:tcW w:type="dxa" w:w="1464"/>
          </w:tcPr>
          <w:p>
            <w:pPr>
              <w:jc w:val="center"/>
            </w:pPr>
            <w:r>
              <w:rPr>
                <w:b/>
                <w:sz w:val="18"/>
              </w:rPr>
              <w:t>+30.5%</w:t>
            </w:r>
          </w:p>
        </w:tc>
        <w:tc>
          <w:tcPr>
            <w:tcW w:type="dxa" w:w="1464"/>
          </w:tcPr>
          <w:p>
            <w:pPr>
              <w:jc w:val="center"/>
            </w:pPr>
            <w:r>
              <w:rPr>
                <w:b/>
                <w:sz w:val="18"/>
              </w:rPr>
              <w:t>0.85</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$1.4M</w:t>
            </w:r>
          </w:p>
        </w:tc>
        <w:tc>
          <w:tcPr>
            <w:tcW w:type="dxa" w:w="1464"/>
          </w:tcPr>
          <w:p>
            <w:pPr>
              <w:jc w:val="center"/>
            </w:pPr>
            <w:r>
              <w:rPr>
                <w:sz w:val="18"/>
              </w:rPr>
              <w:t>+17.0%</w:t>
            </w:r>
          </w:p>
        </w:tc>
        <w:tc>
          <w:tcPr>
            <w:tcW w:type="dxa" w:w="1464"/>
          </w:tcPr>
          <w:p>
            <w:pPr>
              <w:jc w:val="center"/>
            </w:pPr>
            <w:r>
              <w:rPr>
                <w:sz w:val="18"/>
              </w:rPr>
              <w:t>0.62</w:t>
            </w:r>
          </w:p>
        </w:tc>
        <w:tc>
          <w:tcPr>
            <w:tcW w:type="dxa" w:w="1464"/>
          </w:tcPr>
          <w:p>
            <w:pPr>
              <w:jc w:val="center"/>
            </w:pPr>
            <w:r>
              <w:rPr>
                <w:sz w:val="18"/>
              </w:rPr>
              <w:t>-56.7%</w:t>
            </w:r>
          </w:p>
        </w:tc>
        <w:tc>
          <w:tcPr>
            <w:tcW w:type="dxa" w:w="1464"/>
          </w:tcPr>
          <w:p>
            <w:pPr>
              <w:jc w:val="center"/>
            </w:pPr>
            <w:r>
              <w:rPr>
                <w:sz w:val="18"/>
              </w:rPr>
              <w:t>130</w:t>
            </w:r>
          </w:p>
        </w:tc>
      </w:tr>
      <w:tr>
        <w:tc>
          <w:tcPr>
            <w:tcW w:type="dxa" w:w="1464"/>
          </w:tcPr>
          <w:p>
            <w:pPr>
              <w:jc w:val="left"/>
            </w:pPr>
            <w:r>
              <w:rPr>
                <w:sz w:val="18"/>
              </w:rPr>
              <w:t>VolNorm k=5</w:t>
            </w:r>
          </w:p>
        </w:tc>
        <w:tc>
          <w:tcPr>
            <w:tcW w:type="dxa" w:w="1464"/>
          </w:tcPr>
          <w:p>
            <w:pPr>
              <w:jc w:val="center"/>
            </w:pPr>
            <w:r>
              <w:rPr>
                <w:sz w:val="18"/>
              </w:rPr>
              <w:t>$2.0M</w:t>
            </w:r>
          </w:p>
        </w:tc>
        <w:tc>
          <w:tcPr>
            <w:tcW w:type="dxa" w:w="1464"/>
          </w:tcPr>
          <w:p>
            <w:pPr>
              <w:jc w:val="center"/>
            </w:pPr>
            <w:r>
              <w:rPr>
                <w:sz w:val="18"/>
              </w:rPr>
              <w:t>+19.6%</w:t>
            </w:r>
          </w:p>
        </w:tc>
        <w:tc>
          <w:tcPr>
            <w:tcW w:type="dxa" w:w="1464"/>
          </w:tcPr>
          <w:p>
            <w:pPr>
              <w:jc w:val="center"/>
            </w:pPr>
            <w:r>
              <w:rPr>
                <w:sz w:val="18"/>
              </w:rPr>
              <w:t>0.67</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$1.1M</w:t>
            </w:r>
          </w:p>
        </w:tc>
        <w:tc>
          <w:tcPr>
            <w:tcW w:type="dxa" w:w="1464"/>
          </w:tcPr>
          <w:p>
            <w:pPr>
              <w:jc w:val="center"/>
            </w:pPr>
            <w:r>
              <w:rPr>
                <w:sz w:val="18"/>
              </w:rPr>
              <w:t>+15.5%</w:t>
            </w:r>
          </w:p>
        </w:tc>
        <w:tc>
          <w:tcPr>
            <w:tcW w:type="dxa" w:w="1464"/>
          </w:tcPr>
          <w:p>
            <w:pPr>
              <w:jc w:val="center"/>
            </w:pPr>
            <w:r>
              <w:rPr>
                <w:sz w:val="18"/>
              </w:rPr>
              <w:t>0.55</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$3.4M</w:t>
            </w:r>
          </w:p>
        </w:tc>
        <w:tc>
          <w:tcPr>
            <w:tcW w:type="dxa" w:w="1464"/>
          </w:tcPr>
          <w:p>
            <w:pPr>
              <w:jc w:val="center"/>
            </w:pPr>
            <w:r>
              <w:rPr>
                <w:sz w:val="18"/>
              </w:rPr>
              <w:t>+23.9%</w:t>
            </w:r>
          </w:p>
        </w:tc>
        <w:tc>
          <w:tcPr>
            <w:tcW w:type="dxa" w:w="1464"/>
          </w:tcPr>
          <w:p>
            <w:pPr>
              <w:jc w:val="center"/>
            </w:pPr>
            <w:r>
              <w:rPr>
                <w:sz w:val="18"/>
              </w:rPr>
              <w:t>0.71</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0.71 Sharpe with more trades (43 vs. 31).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$8.4M</w:t>
            </w:r>
          </w:p>
        </w:tc>
        <w:tc>
          <w:tcPr>
            <w:tcW w:type="dxa" w:w="1255"/>
          </w:tcPr>
          <w:p>
            <w:pPr>
              <w:jc w:val="center"/>
            </w:pPr>
            <w:r>
              <w:rPr>
                <w:sz w:val="18"/>
              </w:rPr>
              <w:t>+30.5%</w:t>
            </w:r>
          </w:p>
        </w:tc>
        <w:tc>
          <w:tcPr>
            <w:tcW w:type="dxa" w:w="1255"/>
          </w:tcPr>
          <w:p>
            <w:pPr>
              <w:jc w:val="center"/>
            </w:pPr>
            <w:r>
              <w:rPr>
                <w:sz w:val="18"/>
              </w:rPr>
              <w:t>0.85</w:t>
            </w:r>
          </w:p>
        </w:tc>
        <w:tc>
          <w:tcPr>
            <w:tcW w:type="dxa" w:w="1255"/>
          </w:tcPr>
          <w:p>
            <w:pPr>
              <w:jc w:val="center"/>
            </w:pPr>
            <w:r>
              <w:rPr>
                <w:sz w:val="18"/>
              </w:rPr>
              <w:t>1.05</w:t>
            </w:r>
          </w:p>
        </w:tc>
        <w:tc>
          <w:tcPr>
            <w:tcW w:type="dxa" w:w="1255"/>
          </w:tcPr>
          <w:p>
            <w:pPr>
              <w:jc w:val="center"/>
            </w:pPr>
            <w:r>
              <w:rPr>
                <w:sz w:val="18"/>
              </w:rPr>
              <w:t>-41.8%</w:t>
            </w:r>
          </w:p>
        </w:tc>
        <w:tc>
          <w:tcPr>
            <w:tcW w:type="dxa" w:w="1255"/>
          </w:tcPr>
          <w:p>
            <w:pPr>
              <w:jc w:val="center"/>
            </w:pPr>
            <w:r>
              <w:rPr>
                <w:sz w:val="18"/>
              </w:rPr>
              <w:t>0.70</w:t>
            </w:r>
          </w:p>
        </w:tc>
      </w:tr>
      <w:tr>
        <w:tc>
          <w:tcPr>
            <w:tcW w:type="dxa" w:w="1255"/>
          </w:tcPr>
          <w:p>
            <w:pPr>
              <w:jc w:val="left"/>
            </w:pPr>
            <w:r>
              <w:rPr>
                <w:b/>
                <w:sz w:val="18"/>
              </w:rPr>
              <w:t>TLT</w:t>
            </w:r>
          </w:p>
        </w:tc>
        <w:tc>
          <w:tcPr>
            <w:tcW w:type="dxa" w:w="1255"/>
          </w:tcPr>
          <w:p>
            <w:pPr>
              <w:jc w:val="center"/>
            </w:pPr>
            <w:r>
              <w:rPr>
                <w:b/>
                <w:sz w:val="18"/>
              </w:rPr>
              <w:t>$10.4M</w:t>
            </w:r>
          </w:p>
        </w:tc>
        <w:tc>
          <w:tcPr>
            <w:tcW w:type="dxa" w:w="1255"/>
          </w:tcPr>
          <w:p>
            <w:pPr>
              <w:jc w:val="center"/>
            </w:pPr>
            <w:r>
              <w:rPr>
                <w:b/>
                <w:sz w:val="18"/>
              </w:rPr>
              <w:t>+32.1%</w:t>
            </w:r>
          </w:p>
        </w:tc>
        <w:tc>
          <w:tcPr>
            <w:tcW w:type="dxa" w:w="1255"/>
          </w:tcPr>
          <w:p>
            <w:pPr>
              <w:jc w:val="center"/>
            </w:pPr>
            <w:r>
              <w:rPr>
                <w:b/>
                <w:sz w:val="18"/>
              </w:rPr>
              <w:t>0.88</w:t>
            </w:r>
          </w:p>
        </w:tc>
        <w:tc>
          <w:tcPr>
            <w:tcW w:type="dxa" w:w="1255"/>
          </w:tcPr>
          <w:p>
            <w:pPr>
              <w:jc w:val="center"/>
            </w:pPr>
            <w:r>
              <w:rPr>
                <w:b/>
                <w:sz w:val="18"/>
              </w:rPr>
              <w:t>1.12</w:t>
            </w:r>
          </w:p>
        </w:tc>
        <w:tc>
          <w:tcPr>
            <w:tcW w:type="dxa" w:w="1255"/>
          </w:tcPr>
          <w:p>
            <w:pPr>
              <w:jc w:val="center"/>
            </w:pPr>
            <w:r>
              <w:rPr>
                <w:b/>
                <w:sz w:val="18"/>
              </w:rPr>
              <w:t>-55.3%</w:t>
            </w:r>
          </w:p>
        </w:tc>
        <w:tc>
          <w:tcPr>
            <w:tcW w:type="dxa" w:w="1255"/>
          </w:tcPr>
          <w:p>
            <w:pPr>
              <w:jc w:val="center"/>
            </w:pPr>
            <w:r>
              <w:rPr>
                <w:b/>
                <w:sz w:val="18"/>
              </w:rPr>
              <w:t>0.56</w:t>
            </w:r>
          </w:p>
        </w:tc>
      </w:tr>
      <w:tr>
        <w:tc>
          <w:tcPr>
            <w:tcW w:type="dxa" w:w="1255"/>
          </w:tcPr>
          <w:p>
            <w:pPr>
              <w:jc w:val="left"/>
            </w:pPr>
            <w:r>
              <w:rPr>
                <w:sz w:val="18"/>
              </w:rPr>
              <w:t>TMF</w:t>
            </w:r>
          </w:p>
        </w:tc>
        <w:tc>
          <w:tcPr>
            <w:tcW w:type="dxa" w:w="1255"/>
          </w:tcPr>
          <w:p>
            <w:pPr>
              <w:jc w:val="center"/>
            </w:pPr>
            <w:r>
              <w:rPr>
                <w:sz w:val="18"/>
              </w:rPr>
              <w:t>$11.3M</w:t>
            </w:r>
          </w:p>
        </w:tc>
        <w:tc>
          <w:tcPr>
            <w:tcW w:type="dxa" w:w="1255"/>
          </w:tcPr>
          <w:p>
            <w:pPr>
              <w:jc w:val="center"/>
            </w:pPr>
            <w:r>
              <w:rPr>
                <w:sz w:val="18"/>
              </w:rPr>
              <w:t>+32.8%</w:t>
            </w:r>
          </w:p>
        </w:tc>
        <w:tc>
          <w:tcPr>
            <w:tcW w:type="dxa" w:w="1255"/>
          </w:tcPr>
          <w:p>
            <w:pPr>
              <w:jc w:val="center"/>
            </w:pPr>
            <w:r>
              <w:rPr>
                <w:sz w:val="18"/>
              </w:rPr>
              <w:t>0.83</w:t>
            </w:r>
          </w:p>
        </w:tc>
        <w:tc>
          <w:tcPr>
            <w:tcW w:type="dxa" w:w="1255"/>
          </w:tcPr>
          <w:p>
            <w:pPr>
              <w:jc w:val="center"/>
            </w:pPr>
            <w:r>
              <w:rPr>
                <w:sz w:val="18"/>
              </w:rPr>
              <w:t>1.08</w:t>
            </w:r>
          </w:p>
        </w:tc>
        <w:tc>
          <w:tcPr>
            <w:tcW w:type="dxa" w:w="1255"/>
          </w:tcPr>
          <w:p>
            <w:pPr>
              <w:jc w:val="center"/>
            </w:pPr>
            <w:r>
              <w:rPr>
                <w:sz w:val="18"/>
              </w:rPr>
              <w:t>-76.7%</w:t>
            </w:r>
          </w:p>
        </w:tc>
        <w:tc>
          <w:tcPr>
            <w:tcW w:type="dxa" w:w="1255"/>
          </w:tcPr>
          <w:p>
            <w:pPr>
              <w:jc w:val="center"/>
            </w:pPr>
            <w:r>
              <w:rPr>
                <w:sz w:val="18"/>
              </w:rPr>
              <w:t>0.41</w:t>
            </w:r>
          </w:p>
        </w:tc>
      </w:tr>
      <w:tr>
        <w:tc>
          <w:tcPr>
            <w:tcW w:type="dxa" w:w="1255"/>
          </w:tcPr>
          <w:p>
            <w:pPr>
              <w:jc w:val="left"/>
            </w:pPr>
            <w:r>
              <w:rPr>
                <w:sz w:val="18"/>
              </w:rPr>
              <w:t>*UPRO B&amp;H*</w:t>
            </w:r>
          </w:p>
        </w:tc>
        <w:tc>
          <w:tcPr>
            <w:tcW w:type="dxa" w:w="1255"/>
          </w:tcPr>
          <w:p>
            <w:pPr>
              <w:jc w:val="center"/>
            </w:pPr>
            <w:r>
              <w:rPr>
                <w:sz w:val="18"/>
              </w:rPr>
              <w:t>*$9.5M*</w:t>
            </w:r>
          </w:p>
        </w:tc>
        <w:tc>
          <w:tcPr>
            <w:tcW w:type="dxa" w:w="1255"/>
          </w:tcPr>
          <w:p>
            <w:pPr>
              <w:jc w:val="center"/>
            </w:pPr>
            <w:r>
              <w:rPr>
                <w:sz w:val="18"/>
              </w:rPr>
              <w:t>*+31.4%*</w:t>
            </w:r>
          </w:p>
        </w:tc>
        <w:tc>
          <w:tcPr>
            <w:tcW w:type="dxa" w:w="1255"/>
          </w:tcPr>
          <w:p>
            <w:pPr>
              <w:jc w:val="center"/>
            </w:pPr>
            <w:r>
              <w:rPr>
                <w:sz w:val="18"/>
              </w:rPr>
              <w:t>*0.77*</w:t>
            </w:r>
          </w:p>
        </w:tc>
        <w:tc>
          <w:tcPr>
            <w:tcW w:type="dxa" w:w="1255"/>
          </w:tcPr>
          <w:p>
            <w:pPr>
              <w:jc w:val="center"/>
            </w:pPr>
            <w:r>
              <w:rPr>
                <w:sz w:val="18"/>
              </w:rPr>
              <w:t>*0.95*</w:t>
            </w:r>
          </w:p>
        </w:tc>
        <w:tc>
          <w:tcPr>
            <w:tcW w:type="dxa" w:w="1255"/>
          </w:tcPr>
          <w:p>
            <w:pPr>
              <w:jc w:val="center"/>
            </w:pPr>
            <w:r>
              <w:rPr>
                <w:sz w:val="18"/>
              </w:rPr>
              <w:t>*-76.8%*</w:t>
            </w:r>
          </w:p>
        </w:tc>
        <w:tc>
          <w:tcPr>
            <w:tcW w:type="dxa" w:w="1255"/>
          </w:tcPr>
          <w:p>
            <w:pPr>
              <w:jc w:val="center"/>
            </w:pPr>
            <w:r>
              <w:rPr>
                <w:sz w:val="18"/>
              </w:rPr>
              <w:t>*0.39*</w:t>
            </w:r>
          </w:p>
        </w:tc>
      </w:tr>
    </w:tbl>
    <w:p/>
    <w:p>
      <w:r>
        <w:t>Both bond variants beat the T-bill baseline on terminal wealth and Sharpe: TLT ($10.4M) and TMF ($11.3M) versus T-bills' $8.4M. TLT is the standout on risk-adjusted metrics. It achieves the highest Sharpe ratio in the entire analysis (0.88) with a manageable -55.3% max drawdown. The Sortino ratio (1.12) is also the best, reflecting particularly good downside risk management. TMF edges TLT on terminal wealth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(zero interest-rate policy)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14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 with a -77% max drawdown nearly matching UPRO buy-and-hold.</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(31 total signals)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(0.88)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7,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+56.1% since re-entry.</w:t>
      </w:r>
    </w:p>
    <w:p>
      <w:r>
        <w:t>UPRO's all-time high was $122.23 on January 12, 2026. The current price of $108.16 represents a -11.5% drawdown from that peak -- a noticeable decline but still well below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At $108.16, the current drawdown is -11.5%, so there's still a substantial buffer before the exit would activate.</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(0.74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SPY dividends (~1.3% annual yield) would improve the SPY benchmark by roughly 1.5-2% CAGR annually, making the comparison </w:t>
      </w:r>
      <w:r>
        <w:rPr>
          <w:i/>
        </w:rPr>
        <w:t>more favorable to SPY</w:t>
      </w:r>
      <w:r>
        <w:t xml:space="preserve"> relative to the timing strategies. UPRO itself targets 3x the daily </w:t>
      </w:r>
      <w:r>
        <w:rPr>
          <w:i/>
        </w:rPr>
        <w:t>price</w:t>
      </w:r>
      <w:r>
        <w:t xml:space="preserve"> return of the S&amp;P 500 (before fees) and does not distribute dividends, so price returns are the appropriate apples-to-apples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0.85 Sharpe ratio while cutting the maximum drawdown from -77% to -42%.</w:t>
      </w:r>
    </w:p>
    <w:p>
      <w:r>
        <w:t>Parking idle cash in TLT during cooling periods pushes the result further: a 0.88 Sharpe ratio, $10.4M terminal wealth (beating buy-and-hold's $9.5M), and a -55% max drawdown. Block-bootstrap analysis (10,000 iterations, 20-day blocks) confirms the TLT variant's Sharpe advantage is robust: median bootstrapped Sharpe of 0.92 vs 0.89 for T-bill cash, with a 100% probability of positive Sharpe across all bootstrap samples. The TLT variant exploits the flight-to-quality effect -- when stocks crash, long-term Treasuries tend to rally -- turning the cooling period from dead time into a productive hedge.</w:t>
      </w:r>
    </w:p>
    <w:p>
      <w:r>
        <w:t>The trade-off is explicit. The T-bill variant caps max drawdown at -42% but gives up about 12% of buy-and-hold's terminal wealth. The TLT variant beats buy-and-hold on wealth but accepts a -55% max drawdown. Pick the one that matches your risk tolerance.</w:t>
      </w:r>
    </w:p>
    <w:p>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36%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1950 (for extended S&amp;P 500 analysis) and June 2009 (for UPRO-specific results)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