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UPRO Without the Wipeout: 5 Timing Strategies That Cut Drawdowns by 40%</w:t>
      </w:r>
    </w:p>
    <w:p>
      <w:pPr>
        <w:pStyle w:val="Heading1"/>
      </w:pPr>
      <w:r>
        <w:t>Summary</w:t>
      </w:r>
    </w:p>
    <w:p>
      <w:pPr>
        <w:pStyle w:val="ListBullet"/>
      </w:pPr>
      <w:r>
        <w:t>UPRO has turned $100K into $10.2M since 2009 -- roughly 100x. But its -77% maximum drawdown means a $1M portfolio drops to $230K, and most investors bail out long before the recovery.</w:t>
      </w:r>
    </w:p>
    <w:p>
      <w:pPr>
        <w:pStyle w:val="ListBullet"/>
      </w:pPr>
      <w:r>
        <w:t>A leverage comparison reveals UPRO's hidden costs: a frictionless 3x position would have returned $22.6M, while 3x via margin yields only $3.1M. A static margin account avoids the -77% drawdown but would be margin-called in any period that doesn't start at a market bottom.</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0.90 Sharpe ratio and cut the maximum drawdown from -77% to -42%, at the cost of about 12% less terminal wealth. Robustness testing (walk-forward validation, parameter heatmaps, and a synthetic pre-2009 stress test) confirms the result is not a fragile optimum.</w:t>
      </w:r>
    </w:p>
    <w:p>
      <w:pPr>
        <w:pStyle w:val="ListBullet"/>
      </w:pPr>
      <w:r>
        <w:t>An enhancement: parking idle cash in TLT (long-term Treasuries) instead of T-bills during cooling periods pushes the Sharpe to 0.92 and terminal wealth to $11.1M -- actually beating UPRO buy-and-hold -- by harvesting flight-to-quality rallies when stocks crash. The 3x bond alternative (TMF) boosts returns further but gives back all the drawdown protection.</w:t>
      </w:r>
    </w:p>
    <w:p>
      <w:pPr>
        <w:pStyle w:val="Heading1"/>
      </w:pPr>
      <w:r>
        <w:t>The Problem With UPRO</w:t>
      </w:r>
    </w:p>
    <w:p>
      <w:r>
        <w:t>UPRO is one of the most striking backtests in retail investing. Since its inception on June 23, 2009, a $100,000 investment has grown to approximately $10.2 million. That's a 32.0% compound annual growth rate over 16+ years. No mainstream ETF comes close.</w:t>
      </w:r>
    </w:p>
    <w:p>
      <w:r>
        <w:t xml:space="preserve">You already know the catch. UPRO provides 3x daily leveraged exposure to the S&amp;P 500, and that leverage cuts both ways. During the COVID crash in March 2020, UPRO lost roughly two-thirds of its value in weeks. During the 2022 rate-hiking cycle, it drew down brutally. Over the full test period, UPRO's maximum drawdown was </w:t>
      </w:r>
      <w:r>
        <w:rPr>
          <w:b/>
        </w:rPr>
        <w:t>-76.8%</w:t>
      </w:r>
      <w:r>
        <w:t>. That's not a typo.</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This article asks a simple question: can we systematically reduce UPRO's drawdowns while keeping most of the upside? Not a magic system -- a risk management framework. I tested five approaches, each using a different market signal, across 16+ years of actual UPRO price data. The results are instructive.</w:t>
      </w:r>
    </w:p>
    <w:p>
      <w:r>
        <w:t>A quick note on mechanics: UPRO resets its 3x leverage daily, which means it's subject to volatility decay. In a choppy, sideways market, UPRO can lose money even if the S&amp;P 500 ends up flat. This is not a set-and-forget instrument, regardless of what the long-term backtest suggests.</w:t>
      </w:r>
    </w:p>
    <w:p>
      <w:pPr>
        <w:pStyle w:val="Heading1"/>
      </w:pPr>
      <w:r>
        <w:t>What I Tested</w:t>
      </w:r>
    </w:p>
    <w:p>
      <w:r>
        <w:t>I used actual UPRO daily prices from inception (June 23,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T-bill rate (^IRX), compounded daily.</w:t>
      </w:r>
    </w:p>
    <w:p>
      <w:pPr>
        <w:pStyle w:val="ListBullet"/>
      </w:pPr>
      <w:r>
        <w:rPr>
          <w:b/>
        </w:rPr>
        <w:t>Slippage:</w:t>
      </w:r>
      <w:r>
        <w:t xml:space="preserve"> Not modeled. UPRO, SPY, and the other ETFs tested are large-cap, high-volume instruments with tight bid-ask spreads. Slippage on market-on-open orders would be minimal.</w:t>
      </w:r>
    </w:p>
    <w:p>
      <w:pPr>
        <w:pStyle w:val="ListBullet"/>
      </w:pPr>
      <w:r>
        <w:rPr>
          <w:b/>
        </w:rPr>
        <w:t>No intraday stops:</w:t>
      </w:r>
      <w:r>
        <w:t xml:space="preserve"> All signals are end-of-day close-based. No intraday monitoring is required.</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we're trying to beat -- and what we're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0.80</w:t>
            </w:r>
          </w:p>
        </w:tc>
      </w:tr>
      <w:tr>
        <w:tc>
          <w:tcPr>
            <w:tcW w:type="dxa" w:w="4392"/>
          </w:tcPr>
          <w:p>
            <w:pPr>
              <w:jc w:val="left"/>
            </w:pPr>
            <w:r>
              <w:rPr>
                <w:sz w:val="18"/>
              </w:rPr>
              <w:t>Sortino Ratio</w:t>
            </w:r>
          </w:p>
        </w:tc>
        <w:tc>
          <w:tcPr>
            <w:tcW w:type="dxa" w:w="4392"/>
          </w:tcPr>
          <w:p>
            <w:pPr>
              <w:jc w:val="center"/>
            </w:pPr>
            <w:r>
              <w:rPr>
                <w:sz w:val="18"/>
              </w:rPr>
              <w:t>0.99</w:t>
            </w:r>
          </w:p>
        </w:tc>
      </w:tr>
      <w:tr>
        <w:tc>
          <w:tcPr>
            <w:tcW w:type="dxa" w:w="4392"/>
          </w:tcPr>
          <w:p>
            <w:pPr>
              <w:jc w:val="left"/>
            </w:pPr>
            <w:r>
              <w:rPr>
                <w:sz w:val="18"/>
              </w:rPr>
              <w:t>Calmar Ratio</w:t>
            </w:r>
          </w:p>
        </w:tc>
        <w:tc>
          <w:tcPr>
            <w:tcW w:type="dxa" w:w="4392"/>
          </w:tcPr>
          <w:p>
            <w:pPr>
              <w:jc w:val="center"/>
            </w:pPr>
            <w:r>
              <w:rPr>
                <w:sz w:val="18"/>
              </w:rPr>
              <w:t>0.42</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We don't have actual UPRO data for 2000-2009, which would have been devastating. (We address this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we can navigate those periods more gracefully.</w:t>
      </w:r>
    </w:p>
    <w:p>
      <w:pPr>
        <w:pStyle w:val="Heading1"/>
      </w:pPr>
      <w:r>
        <w:t>The Cost of Daily Leverage: UPRO vs. Synthetic 3x SPY</w:t>
      </w:r>
    </w:p>
    <w:p>
      <w:r>
        <w:t>Before we get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0.89</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0.89</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0.66</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0.81</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0.80</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and was stuck at $269K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barely keeping pace with the S&amp;P 500's $41.3M at 1x.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0.75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0.50.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0.88. Sortino: 1.14.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0.52</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0.76</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0.75</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0.62</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0.70</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0.45</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0.88</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0.79</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0.57</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0.87</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0.69</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(We address parameter sensitivity directly in the robustness section below.)</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improves from 0.80 to 0.90.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0.60 Sharpe, -61.1% max DD. Composite 3-of-3: $893K, +14.1% CAGR, 0.61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0.80</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0.75</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0.50</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0.88</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0.60</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preserves 88% of buy-and-hold's terminal value while cutting the maximum drawdown nearly in half. It's the best risk-adjusted performer in the analysis.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(0.88)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We selected these parameters because they looked best on 2009-2026 data. Here's how we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0.90 Sharpe sits at the peak of a broad green plateau. Adjacent cells DD20-25%/Cool30-40 all produce Sharpe ratios above 0.79.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0.81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our confidence -- we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0.81</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data going back to 1993, with a 0.89% expense ratio drag. This isn't a perfect proxy (it ignores swap costs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0.68 Sharpe vs 0.62.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0.90</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0.80</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0.70</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0.64</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r>
        <w:t>The original DD25%/Cool40 rule -- re-enter after the cooling period expires or on a new ATH -- already handles bear markets effectively. The cooling period provides the patience; the ATH check provides the optimism. Adding an SMA gate is redundant at best and actively harmful at worst.</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we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0.90</w:t>
            </w:r>
          </w:p>
        </w:tc>
        <w:tc>
          <w:tcPr>
            <w:tcW w:type="dxa" w:w="1255"/>
          </w:tcPr>
          <w:p>
            <w:pPr>
              <w:jc w:val="center"/>
            </w:pPr>
            <w:r>
              <w:rPr>
                <w:sz w:val="18"/>
              </w:rPr>
              <w:t>1.07</w:t>
            </w:r>
          </w:p>
        </w:tc>
        <w:tc>
          <w:tcPr>
            <w:tcW w:type="dxa" w:w="1255"/>
          </w:tcPr>
          <w:p>
            <w:pPr>
              <w:jc w:val="center"/>
            </w:pPr>
            <w:r>
              <w:rPr>
                <w:sz w:val="18"/>
              </w:rPr>
              <w:t>-41.8%</w:t>
            </w:r>
          </w:p>
        </w:tc>
        <w:tc>
          <w:tcPr>
            <w:tcW w:type="dxa" w:w="1255"/>
          </w:tcPr>
          <w:p>
            <w:pPr>
              <w:jc w:val="center"/>
            </w:pPr>
            <w:r>
              <w:rPr>
                <w:sz w:val="18"/>
              </w:rPr>
              <w:t>0.74</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0.92</w:t>
            </w:r>
          </w:p>
        </w:tc>
        <w:tc>
          <w:tcPr>
            <w:tcW w:type="dxa" w:w="1255"/>
          </w:tcPr>
          <w:p>
            <w:pPr>
              <w:jc w:val="center"/>
            </w:pPr>
            <w:r>
              <w:rPr>
                <w:b/>
                <w:sz w:val="18"/>
              </w:rPr>
              <w:t>1.17</w:t>
            </w:r>
          </w:p>
        </w:tc>
        <w:tc>
          <w:tcPr>
            <w:tcW w:type="dxa" w:w="1255"/>
          </w:tcPr>
          <w:p>
            <w:pPr>
              <w:jc w:val="center"/>
            </w:pPr>
            <w:r>
              <w:rPr>
                <w:b/>
                <w:sz w:val="18"/>
              </w:rPr>
              <w:t>-55.3%</w:t>
            </w:r>
          </w:p>
        </w:tc>
        <w:tc>
          <w:tcPr>
            <w:tcW w:type="dxa" w:w="1255"/>
          </w:tcPr>
          <w:p>
            <w:pPr>
              <w:jc w:val="center"/>
            </w:pPr>
            <w:r>
              <w:rPr>
                <w:b/>
                <w:sz w:val="18"/>
              </w:rPr>
              <w:t>0.59</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0.87</w:t>
            </w:r>
          </w:p>
        </w:tc>
        <w:tc>
          <w:tcPr>
            <w:tcW w:type="dxa" w:w="1255"/>
          </w:tcPr>
          <w:p>
            <w:pPr>
              <w:jc w:val="center"/>
            </w:pPr>
            <w:r>
              <w:rPr>
                <w:sz w:val="18"/>
              </w:rPr>
              <w:t>1.13</w:t>
            </w:r>
          </w:p>
        </w:tc>
        <w:tc>
          <w:tcPr>
            <w:tcW w:type="dxa" w:w="1255"/>
          </w:tcPr>
          <w:p>
            <w:pPr>
              <w:jc w:val="center"/>
            </w:pPr>
            <w:r>
              <w:rPr>
                <w:sz w:val="18"/>
              </w:rPr>
              <w:t>-76.7%</w:t>
            </w:r>
          </w:p>
        </w:tc>
        <w:tc>
          <w:tcPr>
            <w:tcW w:type="dxa" w:w="1255"/>
          </w:tcPr>
          <w:p>
            <w:pPr>
              <w:jc w:val="center"/>
            </w:pPr>
            <w:r>
              <w:rPr>
                <w:sz w:val="18"/>
              </w:rPr>
              <w:t>0.43</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*0.80*</w:t>
            </w:r>
          </w:p>
        </w:tc>
        <w:tc>
          <w:tcPr>
            <w:tcW w:type="dxa" w:w="1255"/>
          </w:tcPr>
          <w:p>
            <w:pPr>
              <w:jc w:val="center"/>
            </w:pPr>
            <w:r>
              <w:rPr>
                <w:sz w:val="18"/>
              </w:rPr>
              <w:t>*0.99*</w:t>
            </w:r>
          </w:p>
        </w:tc>
        <w:tc>
          <w:tcPr>
            <w:tcW w:type="dxa" w:w="1255"/>
          </w:tcPr>
          <w:p>
            <w:pPr>
              <w:jc w:val="center"/>
            </w:pPr>
            <w:r>
              <w:rPr>
                <w:sz w:val="18"/>
              </w:rPr>
              <w:t>*-76.8%*</w:t>
            </w:r>
          </w:p>
        </w:tc>
        <w:tc>
          <w:tcPr>
            <w:tcW w:type="dxa" w:w="1255"/>
          </w:tcPr>
          <w:p>
            <w:pPr>
              <w:jc w:val="center"/>
            </w:pPr>
            <w:r>
              <w:rPr>
                <w:sz w:val="18"/>
              </w:rPr>
              <w:t>*0.42*</w:t>
            </w:r>
          </w:p>
        </w:tc>
      </w:tr>
    </w:tbl>
    <w:p/>
    <w:p>
      <w:r>
        <w:t xml:space="preserve">The TLT variant is the standout. It achieves the highest Sharpe ratio in the entire analysis (0.92) and is the </w:t>
      </w:r>
      <w:r>
        <w:rPr>
          <w:i/>
        </w:rPr>
        <w:t>only</w:t>
      </w:r>
      <w:r>
        <w:t xml:space="preserve"> timing variant that beats UPRO buy-and-hold on terminal wealth ($11.1M vs $10.2M). The Sortino ratio (1.17) is also the best, reflecting particularly good downside risk management.</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Days</w:t>
            </w:r>
          </w:p>
        </w:tc>
        <w:tc>
          <w:tcPr>
            <w:tcW w:type="dxa" w:w="2196"/>
          </w:tcPr>
          <w:p>
            <w:pPr>
              <w:jc w:val="center"/>
            </w:pPr>
            <w:r>
              <w:rPr>
                <w:b/>
                <w:sz w:val="18"/>
              </w:rPr>
              <w:t>TLT Return</w:t>
            </w:r>
          </w:p>
        </w:tc>
        <w:tc>
          <w:tcPr>
            <w:tcW w:type="dxa" w:w="2196"/>
          </w:tcPr>
          <w:p>
            <w:pPr>
              <w:jc w:val="center"/>
            </w:pPr>
            <w:r>
              <w:rPr>
                <w:b/>
                <w:sz w:val="18"/>
              </w:rPr>
              <w:t>TMF Return</w:t>
            </w:r>
          </w:p>
        </w:tc>
      </w:tr>
      <w:tr>
        <w:tc>
          <w:tcPr>
            <w:tcW w:type="dxa" w:w="2196"/>
          </w:tcPr>
          <w:p>
            <w:pPr>
              <w:jc w:val="left"/>
            </w:pPr>
            <w:r>
              <w:rPr>
                <w:sz w:val="18"/>
              </w:rPr>
              <w:t>May-Jul 2010</w:t>
            </w:r>
          </w:p>
        </w:tc>
        <w:tc>
          <w:tcPr>
            <w:tcW w:type="dxa" w:w="2196"/>
          </w:tcPr>
          <w:p>
            <w:pPr>
              <w:jc w:val="center"/>
            </w:pPr>
            <w:r>
              <w:rPr>
                <w:sz w:val="18"/>
              </w:rPr>
              <w:t>60</w:t>
            </w:r>
          </w:p>
        </w:tc>
        <w:tc>
          <w:tcPr>
            <w:tcW w:type="dxa" w:w="2196"/>
          </w:tcPr>
          <w:p>
            <w:pPr>
              <w:jc w:val="center"/>
            </w:pPr>
            <w:r>
              <w:rPr>
                <w:sz w:val="18"/>
              </w:rPr>
              <w:t>+1.7%</w:t>
            </w:r>
          </w:p>
        </w:tc>
        <w:tc>
          <w:tcPr>
            <w:tcW w:type="dxa" w:w="2196"/>
          </w:tcPr>
          <w:p>
            <w:pPr>
              <w:jc w:val="center"/>
            </w:pPr>
            <w:r>
              <w:rPr>
                <w:sz w:val="18"/>
              </w:rPr>
              <w:t>+3.4%</w:t>
            </w:r>
          </w:p>
        </w:tc>
      </w:tr>
      <w:tr>
        <w:tc>
          <w:tcPr>
            <w:tcW w:type="dxa" w:w="2196"/>
          </w:tcPr>
          <w:p>
            <w:pPr>
              <w:jc w:val="left"/>
            </w:pPr>
            <w:r>
              <w:rPr>
                <w:sz w:val="18"/>
              </w:rPr>
              <w:t>Aug-Oct 2011 (debt ceiling)</w:t>
            </w:r>
          </w:p>
        </w:tc>
        <w:tc>
          <w:tcPr>
            <w:tcW w:type="dxa" w:w="2196"/>
          </w:tcPr>
          <w:p>
            <w:pPr>
              <w:jc w:val="center"/>
            </w:pPr>
            <w:r>
              <w:rPr>
                <w:sz w:val="18"/>
              </w:rPr>
              <w:t>59</w:t>
            </w:r>
          </w:p>
        </w:tc>
        <w:tc>
          <w:tcPr>
            <w:tcW w:type="dxa" w:w="2196"/>
          </w:tcPr>
          <w:p>
            <w:pPr>
              <w:jc w:val="center"/>
            </w:pPr>
            <w:r>
              <w:rPr>
                <w:sz w:val="18"/>
              </w:rPr>
              <w:t>+18.5%</w:t>
            </w:r>
          </w:p>
        </w:tc>
        <w:tc>
          <w:tcPr>
            <w:tcW w:type="dxa" w:w="2196"/>
          </w:tcPr>
          <w:p>
            <w:pPr>
              <w:jc w:val="center"/>
            </w:pPr>
            <w:r>
              <w:rPr>
                <w:sz w:val="18"/>
              </w:rPr>
              <w:t>+58.4%</w:t>
            </w:r>
          </w:p>
        </w:tc>
      </w:tr>
      <w:tr>
        <w:tc>
          <w:tcPr>
            <w:tcW w:type="dxa" w:w="2196"/>
          </w:tcPr>
          <w:p>
            <w:pPr>
              <w:jc w:val="left"/>
            </w:pPr>
            <w:r>
              <w:rPr>
                <w:sz w:val="18"/>
              </w:rPr>
              <w:t>Nov 2011-Jan 2012</w:t>
            </w:r>
          </w:p>
        </w:tc>
        <w:tc>
          <w:tcPr>
            <w:tcW w:type="dxa" w:w="2196"/>
          </w:tcPr>
          <w:p>
            <w:pPr>
              <w:jc w:val="center"/>
            </w:pPr>
            <w:r>
              <w:rPr>
                <w:sz w:val="18"/>
              </w:rPr>
              <w:t>55</w:t>
            </w:r>
          </w:p>
        </w:tc>
        <w:tc>
          <w:tcPr>
            <w:tcW w:type="dxa" w:w="2196"/>
          </w:tcPr>
          <w:p>
            <w:pPr>
              <w:jc w:val="center"/>
            </w:pPr>
            <w:r>
              <w:rPr>
                <w:sz w:val="18"/>
              </w:rPr>
              <w:t>-1.5%</w:t>
            </w:r>
          </w:p>
        </w:tc>
        <w:tc>
          <w:tcPr>
            <w:tcW w:type="dxa" w:w="2196"/>
          </w:tcPr>
          <w:p>
            <w:pPr>
              <w:jc w:val="center"/>
            </w:pPr>
            <w:r>
              <w:rPr>
                <w:sz w:val="18"/>
              </w:rPr>
              <w:t>-5.9%</w:t>
            </w:r>
          </w:p>
        </w:tc>
      </w:tr>
      <w:tr>
        <w:tc>
          <w:tcPr>
            <w:tcW w:type="dxa" w:w="2196"/>
          </w:tcPr>
          <w:p>
            <w:pPr>
              <w:jc w:val="left"/>
            </w:pPr>
            <w:r>
              <w:rPr>
                <w:sz w:val="18"/>
              </w:rPr>
              <w:t>Jun-Jul 2012</w:t>
            </w:r>
          </w:p>
        </w:tc>
        <w:tc>
          <w:tcPr>
            <w:tcW w:type="dxa" w:w="2196"/>
          </w:tcPr>
          <w:p>
            <w:pPr>
              <w:jc w:val="center"/>
            </w:pPr>
            <w:r>
              <w:rPr>
                <w:sz w:val="18"/>
              </w:rPr>
              <w:t>57</w:t>
            </w:r>
          </w:p>
        </w:tc>
        <w:tc>
          <w:tcPr>
            <w:tcW w:type="dxa" w:w="2196"/>
          </w:tcPr>
          <w:p>
            <w:pPr>
              <w:jc w:val="center"/>
            </w:pPr>
            <w:r>
              <w:rPr>
                <w:sz w:val="18"/>
              </w:rPr>
              <w:t>+0.6%</w:t>
            </w:r>
          </w:p>
        </w:tc>
        <w:tc>
          <w:tcPr>
            <w:tcW w:type="dxa" w:w="2196"/>
          </w:tcPr>
          <w:p>
            <w:pPr>
              <w:jc w:val="center"/>
            </w:pPr>
            <w:r>
              <w:rPr>
                <w:sz w:val="18"/>
              </w:rPr>
              <w:t>+0.8%</w:t>
            </w:r>
          </w:p>
        </w:tc>
      </w:tr>
      <w:tr>
        <w:tc>
          <w:tcPr>
            <w:tcW w:type="dxa" w:w="2196"/>
          </w:tcPr>
          <w:p>
            <w:pPr>
              <w:jc w:val="left"/>
            </w:pPr>
            <w:r>
              <w:rPr>
                <w:sz w:val="18"/>
              </w:rPr>
              <w:t>Aug-Oct 2015</w:t>
            </w:r>
          </w:p>
        </w:tc>
        <w:tc>
          <w:tcPr>
            <w:tcW w:type="dxa" w:w="2196"/>
          </w:tcPr>
          <w:p>
            <w:pPr>
              <w:jc w:val="center"/>
            </w:pPr>
            <w:r>
              <w:rPr>
                <w:sz w:val="18"/>
              </w:rPr>
              <w:t>57</w:t>
            </w:r>
          </w:p>
        </w:tc>
        <w:tc>
          <w:tcPr>
            <w:tcW w:type="dxa" w:w="2196"/>
          </w:tcPr>
          <w:p>
            <w:pPr>
              <w:jc w:val="center"/>
            </w:pPr>
            <w:r>
              <w:rPr>
                <w:sz w:val="18"/>
              </w:rPr>
              <w:t>-0.3%</w:t>
            </w:r>
          </w:p>
        </w:tc>
        <w:tc>
          <w:tcPr>
            <w:tcW w:type="dxa" w:w="2196"/>
          </w:tcPr>
          <w:p>
            <w:pPr>
              <w:jc w:val="center"/>
            </w:pPr>
            <w:r>
              <w:rPr>
                <w:sz w:val="18"/>
              </w:rPr>
              <w:t>-2.1%</w:t>
            </w:r>
          </w:p>
        </w:tc>
      </w:tr>
      <w:tr>
        <w:tc>
          <w:tcPr>
            <w:tcW w:type="dxa" w:w="2196"/>
          </w:tcPr>
          <w:p>
            <w:pPr>
              <w:jc w:val="left"/>
            </w:pPr>
            <w:r>
              <w:rPr>
                <w:sz w:val="18"/>
              </w:rPr>
              <w:t>Jan-Mar 2016</w:t>
            </w:r>
          </w:p>
        </w:tc>
        <w:tc>
          <w:tcPr>
            <w:tcW w:type="dxa" w:w="2196"/>
          </w:tcPr>
          <w:p>
            <w:pPr>
              <w:jc w:val="center"/>
            </w:pPr>
            <w:r>
              <w:rPr>
                <w:sz w:val="18"/>
              </w:rPr>
              <w:t>60</w:t>
            </w:r>
          </w:p>
        </w:tc>
        <w:tc>
          <w:tcPr>
            <w:tcW w:type="dxa" w:w="2196"/>
          </w:tcPr>
          <w:p>
            <w:pPr>
              <w:jc w:val="center"/>
            </w:pPr>
            <w:r>
              <w:rPr>
                <w:sz w:val="18"/>
              </w:rPr>
              <w:t>+3.1%</w:t>
            </w:r>
          </w:p>
        </w:tc>
        <w:tc>
          <w:tcPr>
            <w:tcW w:type="dxa" w:w="2196"/>
          </w:tcPr>
          <w:p>
            <w:pPr>
              <w:jc w:val="center"/>
            </w:pPr>
            <w:r>
              <w:rPr>
                <w:sz w:val="18"/>
              </w:rPr>
              <w:t>+8.2%</w:t>
            </w:r>
          </w:p>
        </w:tc>
      </w:tr>
      <w:tr>
        <w:tc>
          <w:tcPr>
            <w:tcW w:type="dxa" w:w="2196"/>
          </w:tcPr>
          <w:p>
            <w:pPr>
              <w:jc w:val="left"/>
            </w:pPr>
            <w:r>
              <w:rPr>
                <w:sz w:val="18"/>
              </w:rPr>
              <w:t>Feb-Apr 2018</w:t>
            </w:r>
          </w:p>
        </w:tc>
        <w:tc>
          <w:tcPr>
            <w:tcW w:type="dxa" w:w="2196"/>
          </w:tcPr>
          <w:p>
            <w:pPr>
              <w:jc w:val="center"/>
            </w:pPr>
            <w:r>
              <w:rPr>
                <w:sz w:val="18"/>
              </w:rPr>
              <w:t>60</w:t>
            </w:r>
          </w:p>
        </w:tc>
        <w:tc>
          <w:tcPr>
            <w:tcW w:type="dxa" w:w="2196"/>
          </w:tcPr>
          <w:p>
            <w:pPr>
              <w:jc w:val="center"/>
            </w:pPr>
            <w:r>
              <w:rPr>
                <w:sz w:val="18"/>
              </w:rPr>
              <w:t>+3.0%</w:t>
            </w:r>
          </w:p>
        </w:tc>
        <w:tc>
          <w:tcPr>
            <w:tcW w:type="dxa" w:w="2196"/>
          </w:tcPr>
          <w:p>
            <w:pPr>
              <w:jc w:val="center"/>
            </w:pPr>
            <w:r>
              <w:rPr>
                <w:sz w:val="18"/>
              </w:rPr>
              <w:t>+8.6%</w:t>
            </w:r>
          </w:p>
        </w:tc>
      </w:tr>
      <w:tr>
        <w:tc>
          <w:tcPr>
            <w:tcW w:type="dxa" w:w="2196"/>
          </w:tcPr>
          <w:p>
            <w:pPr>
              <w:jc w:val="left"/>
            </w:pPr>
            <w:r>
              <w:rPr>
                <w:sz w:val="18"/>
              </w:rPr>
              <w:t>Oct-Dec 2018</w:t>
            </w:r>
          </w:p>
        </w:tc>
        <w:tc>
          <w:tcPr>
            <w:tcW w:type="dxa" w:w="2196"/>
          </w:tcPr>
          <w:p>
            <w:pPr>
              <w:jc w:val="center"/>
            </w:pPr>
            <w:r>
              <w:rPr>
                <w:sz w:val="18"/>
              </w:rPr>
              <w:t>60</w:t>
            </w:r>
          </w:p>
        </w:tc>
        <w:tc>
          <w:tcPr>
            <w:tcW w:type="dxa" w:w="2196"/>
          </w:tcPr>
          <w:p>
            <w:pPr>
              <w:jc w:val="center"/>
            </w:pPr>
            <w:r>
              <w:rPr>
                <w:sz w:val="18"/>
              </w:rPr>
              <w:t>+6.5%</w:t>
            </w:r>
          </w:p>
        </w:tc>
        <w:tc>
          <w:tcPr>
            <w:tcW w:type="dxa" w:w="2196"/>
          </w:tcPr>
          <w:p>
            <w:pPr>
              <w:jc w:val="center"/>
            </w:pPr>
            <w:r>
              <w:rPr>
                <w:sz w:val="18"/>
              </w:rPr>
              <w:t>+19.6%</w:t>
            </w:r>
          </w:p>
        </w:tc>
      </w:tr>
      <w:tr>
        <w:tc>
          <w:tcPr>
            <w:tcW w:type="dxa" w:w="2196"/>
          </w:tcPr>
          <w:p>
            <w:pPr>
              <w:jc w:val="left"/>
            </w:pPr>
            <w:r>
              <w:rPr>
                <w:sz w:val="18"/>
              </w:rPr>
              <w:t>Feb-Apr 2020 (COVID)</w:t>
            </w:r>
          </w:p>
        </w:tc>
        <w:tc>
          <w:tcPr>
            <w:tcW w:type="dxa" w:w="2196"/>
          </w:tcPr>
          <w:p>
            <w:pPr>
              <w:jc w:val="center"/>
            </w:pPr>
            <w:r>
              <w:rPr>
                <w:sz w:val="18"/>
              </w:rPr>
              <w:t>59</w:t>
            </w:r>
          </w:p>
        </w:tc>
        <w:tc>
          <w:tcPr>
            <w:tcW w:type="dxa" w:w="2196"/>
          </w:tcPr>
          <w:p>
            <w:pPr>
              <w:jc w:val="center"/>
            </w:pPr>
            <w:r>
              <w:rPr>
                <w:sz w:val="18"/>
              </w:rPr>
              <w:t>+10.2%</w:t>
            </w:r>
          </w:p>
        </w:tc>
        <w:tc>
          <w:tcPr>
            <w:tcW w:type="dxa" w:w="2196"/>
          </w:tcPr>
          <w:p>
            <w:pPr>
              <w:jc w:val="center"/>
            </w:pPr>
            <w:r>
              <w:rPr>
                <w:sz w:val="18"/>
              </w:rPr>
              <w:t>+20.4%</w:t>
            </w:r>
          </w:p>
        </w:tc>
      </w:tr>
      <w:tr>
        <w:tc>
          <w:tcPr>
            <w:tcW w:type="dxa" w:w="2196"/>
          </w:tcPr>
          <w:p>
            <w:pPr>
              <w:jc w:val="left"/>
            </w:pPr>
            <w:r>
              <w:rPr>
                <w:sz w:val="18"/>
              </w:rPr>
              <w:t>Sep-Nov 2020</w:t>
            </w:r>
          </w:p>
        </w:tc>
        <w:tc>
          <w:tcPr>
            <w:tcW w:type="dxa" w:w="2196"/>
          </w:tcPr>
          <w:p>
            <w:pPr>
              <w:jc w:val="center"/>
            </w:pPr>
            <w:r>
              <w:rPr>
                <w:sz w:val="18"/>
              </w:rPr>
              <w:t>54</w:t>
            </w:r>
          </w:p>
        </w:tc>
        <w:tc>
          <w:tcPr>
            <w:tcW w:type="dxa" w:w="2196"/>
          </w:tcPr>
          <w:p>
            <w:pPr>
              <w:jc w:val="center"/>
            </w:pPr>
            <w:r>
              <w:rPr>
                <w:sz w:val="18"/>
              </w:rPr>
              <w:t>-3.5%</w:t>
            </w:r>
          </w:p>
        </w:tc>
        <w:tc>
          <w:tcPr>
            <w:tcW w:type="dxa" w:w="2196"/>
          </w:tcPr>
          <w:p>
            <w:pPr>
              <w:jc w:val="center"/>
            </w:pPr>
            <w:r>
              <w:rPr>
                <w:sz w:val="18"/>
              </w:rPr>
              <w:t>-11.1%</w:t>
            </w:r>
          </w:p>
        </w:tc>
      </w:tr>
      <w:tr>
        <w:tc>
          <w:tcPr>
            <w:tcW w:type="dxa" w:w="2196"/>
          </w:tcPr>
          <w:p>
            <w:pPr>
              <w:jc w:val="left"/>
            </w:pPr>
            <w:r>
              <w:rPr>
                <w:sz w:val="18"/>
              </w:rPr>
              <w:t>Jan-Mar 2022 (rate hikes)</w:t>
            </w:r>
          </w:p>
        </w:tc>
        <w:tc>
          <w:tcPr>
            <w:tcW w:type="dxa" w:w="2196"/>
          </w:tcPr>
          <w:p>
            <w:pPr>
              <w:jc w:val="center"/>
            </w:pPr>
            <w:r>
              <w:rPr>
                <w:sz w:val="18"/>
              </w:rPr>
              <w:t>57</w:t>
            </w:r>
          </w:p>
        </w:tc>
        <w:tc>
          <w:tcPr>
            <w:tcW w:type="dxa" w:w="2196"/>
          </w:tcPr>
          <w:p>
            <w:pPr>
              <w:jc w:val="center"/>
            </w:pPr>
            <w:r>
              <w:rPr>
                <w:sz w:val="18"/>
              </w:rPr>
              <w:t>-8.6%</w:t>
            </w:r>
          </w:p>
        </w:tc>
        <w:tc>
          <w:tcPr>
            <w:tcW w:type="dxa" w:w="2196"/>
          </w:tcPr>
          <w:p>
            <w:pPr>
              <w:jc w:val="center"/>
            </w:pPr>
            <w:r>
              <w:rPr>
                <w:sz w:val="18"/>
              </w:rPr>
              <w:t>-25.5%</w:t>
            </w:r>
          </w:p>
        </w:tc>
      </w:tr>
      <w:tr>
        <w:tc>
          <w:tcPr>
            <w:tcW w:type="dxa" w:w="2196"/>
          </w:tcPr>
          <w:p>
            <w:pPr>
              <w:jc w:val="left"/>
            </w:pPr>
            <w:r>
              <w:rPr>
                <w:sz w:val="18"/>
              </w:rPr>
              <w:t>Apr-Jun 2022</w:t>
            </w:r>
          </w:p>
        </w:tc>
        <w:tc>
          <w:tcPr>
            <w:tcW w:type="dxa" w:w="2196"/>
          </w:tcPr>
          <w:p>
            <w:pPr>
              <w:jc w:val="center"/>
            </w:pPr>
            <w:r>
              <w:rPr>
                <w:sz w:val="18"/>
              </w:rPr>
              <w:t>58</w:t>
            </w:r>
          </w:p>
        </w:tc>
        <w:tc>
          <w:tcPr>
            <w:tcW w:type="dxa" w:w="2196"/>
          </w:tcPr>
          <w:p>
            <w:pPr>
              <w:jc w:val="center"/>
            </w:pPr>
            <w:r>
              <w:rPr>
                <w:sz w:val="18"/>
              </w:rPr>
              <w:t>-6.8%</w:t>
            </w:r>
          </w:p>
        </w:tc>
        <w:tc>
          <w:tcPr>
            <w:tcW w:type="dxa" w:w="2196"/>
          </w:tcPr>
          <w:p>
            <w:pPr>
              <w:jc w:val="center"/>
            </w:pPr>
            <w:r>
              <w:rPr>
                <w:sz w:val="18"/>
              </w:rPr>
              <w:t>-21.3%</w:t>
            </w:r>
          </w:p>
        </w:tc>
      </w:tr>
      <w:tr>
        <w:tc>
          <w:tcPr>
            <w:tcW w:type="dxa" w:w="2196"/>
          </w:tcPr>
          <w:p>
            <w:pPr>
              <w:jc w:val="left"/>
            </w:pPr>
            <w:r>
              <w:rPr>
                <w:sz w:val="18"/>
              </w:rPr>
              <w:t>Sep-Nov 2022</w:t>
            </w:r>
          </w:p>
        </w:tc>
        <w:tc>
          <w:tcPr>
            <w:tcW w:type="dxa" w:w="2196"/>
          </w:tcPr>
          <w:p>
            <w:pPr>
              <w:jc w:val="center"/>
            </w:pPr>
            <w:r>
              <w:rPr>
                <w:sz w:val="18"/>
              </w:rPr>
              <w:t>56</w:t>
            </w:r>
          </w:p>
        </w:tc>
        <w:tc>
          <w:tcPr>
            <w:tcW w:type="dxa" w:w="2196"/>
          </w:tcPr>
          <w:p>
            <w:pPr>
              <w:jc w:val="center"/>
            </w:pPr>
            <w:r>
              <w:rPr>
                <w:sz w:val="18"/>
              </w:rPr>
              <w:t>-10.1%</w:t>
            </w:r>
          </w:p>
        </w:tc>
        <w:tc>
          <w:tcPr>
            <w:tcW w:type="dxa" w:w="2196"/>
          </w:tcPr>
          <w:p>
            <w:pPr>
              <w:jc w:val="center"/>
            </w:pPr>
            <w:r>
              <w:rPr>
                <w:sz w:val="18"/>
              </w:rPr>
              <w:t>-29.8%</w:t>
            </w:r>
          </w:p>
        </w:tc>
      </w:tr>
      <w:tr>
        <w:tc>
          <w:tcPr>
            <w:tcW w:type="dxa" w:w="2196"/>
          </w:tcPr>
          <w:p>
            <w:pPr>
              <w:jc w:val="left"/>
            </w:pPr>
            <w:r>
              <w:rPr>
                <w:sz w:val="18"/>
              </w:rPr>
              <w:t>Oct-Dec 2023</w:t>
            </w:r>
          </w:p>
        </w:tc>
        <w:tc>
          <w:tcPr>
            <w:tcW w:type="dxa" w:w="2196"/>
          </w:tcPr>
          <w:p>
            <w:pPr>
              <w:jc w:val="center"/>
            </w:pPr>
            <w:r>
              <w:rPr>
                <w:sz w:val="18"/>
              </w:rPr>
              <w:t>49</w:t>
            </w:r>
          </w:p>
        </w:tc>
        <w:tc>
          <w:tcPr>
            <w:tcW w:type="dxa" w:w="2196"/>
          </w:tcPr>
          <w:p>
            <w:pPr>
              <w:jc w:val="center"/>
            </w:pPr>
            <w:r>
              <w:rPr>
                <w:sz w:val="18"/>
              </w:rPr>
              <w:t>+18.1%</w:t>
            </w:r>
          </w:p>
        </w:tc>
        <w:tc>
          <w:tcPr>
            <w:tcW w:type="dxa" w:w="2196"/>
          </w:tcPr>
          <w:p>
            <w:pPr>
              <w:jc w:val="center"/>
            </w:pPr>
            <w:r>
              <w:rPr>
                <w:sz w:val="18"/>
              </w:rPr>
              <w:t>+58.9%</w:t>
            </w:r>
          </w:p>
        </w:tc>
      </w:tr>
      <w:tr>
        <w:tc>
          <w:tcPr>
            <w:tcW w:type="dxa" w:w="2196"/>
          </w:tcPr>
          <w:p>
            <w:pPr>
              <w:jc w:val="left"/>
            </w:pPr>
            <w:r>
              <w:rPr>
                <w:sz w:val="18"/>
              </w:rPr>
              <w:t>Mar-May 2025</w:t>
            </w:r>
          </w:p>
        </w:tc>
        <w:tc>
          <w:tcPr>
            <w:tcW w:type="dxa" w:w="2196"/>
          </w:tcPr>
          <w:p>
            <w:pPr>
              <w:jc w:val="center"/>
            </w:pPr>
            <w:r>
              <w:rPr>
                <w:sz w:val="18"/>
              </w:rPr>
              <w:t>57</w:t>
            </w:r>
          </w:p>
        </w:tc>
        <w:tc>
          <w:tcPr>
            <w:tcW w:type="dxa" w:w="2196"/>
          </w:tcPr>
          <w:p>
            <w:pPr>
              <w:jc w:val="center"/>
            </w:pPr>
            <w:r>
              <w:rPr>
                <w:sz w:val="18"/>
              </w:rPr>
              <w:t>-1.5%</w:t>
            </w:r>
          </w:p>
        </w:tc>
        <w:tc>
          <w:tcPr>
            <w:tcW w:type="dxa" w:w="2196"/>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09_bond_cash.png"/>
                    <pic:cNvPicPr/>
                  </pic:nvPicPr>
                  <pic:blipFill>
                    <a:blip r:embed="rId17"/>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during drawdowns will be at a loss, making them tax-loss harvesting opportunities.</w:t>
      </w:r>
    </w:p>
    <w:p>
      <w:r>
        <w:rPr>
          <w:b/>
        </w:rPr>
        <w:t>Transaction costs.</w:t>
      </w:r>
      <w:r>
        <w:t xml:space="preserve"> At 31 trade signals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(0.92)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Are We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(0.81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We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How Does This Compare to Options-Based Leverage?</w:t>
      </w:r>
    </w:p>
    <w:p>
      <w:r>
        <w:t>Not every investor can or wants to hold leveraged ETFs. Some IRA custodians restrict them, and many investors are uncomfortable with a product that resets leverage daily and is subject to volatility decay. An alternative approach to leveraged equity exposure is buying deep in-the-money (80-delta) SPY call options, which provide roughly 1.5-2x leverage through embedded leverage in the option premium. When combined with an SMA200 trend filter — buy only when SPY is above its 200-day moving average — the options approach avoids bear market exposure entirely by sitting in cash below the moving average.</w:t>
      </w:r>
    </w:p>
    <w:p>
      <w:r>
        <w:t>Over the same 2015-2026 period with actual market data, the 80-delta options-only strategy produced a +24.7% CAGR (0.85 Sharpe, -39.1% max drawdown) compared to UPRO DD25/Cool40's +25.2% CAGR (0.79 Sharpe, -41.8% max drawdown). The returns are nearly identical, and the options approach actually edges ahead on risk-adjusted metrics. But the operational difference is enormous: 1,233 option trades over 11 years versus ~15 round-trips for the drawdown exit. UPRO DD25/Cool40 requires checking one number (the drawdown percentage) once a day. The 80-delta options strategy requires monitoring positions, rolling expirations, managing entries and exits across dozens of concurrent positions, and dealing with the occasional illiquid option chain.</w:t>
      </w:r>
    </w:p>
    <w:p>
      <w:r>
        <w:t xml:space="preserve">If you </w:t>
      </w:r>
      <w:r>
        <w:rPr>
          <w:i/>
        </w:rPr>
        <w:t>can</w:t>
      </w:r>
      <w:r>
        <w:t xml:space="preserve"> hold UPRO and have the discipline to follow the DD25/Cool40 rule mechanically, it's the simpler, better choice. The options-based approach is worth considering only if leveraged ETFs are unavailable in your account or if you have the infrastructure and temperament for active options management.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a 0.90 Sharpe ratio while cutting the maximum drawdown from -77% to -42%.</w:t>
      </w:r>
    </w:p>
    <w:p>
      <w:r>
        <w:t>Parking idle cash in TLT during cooling periods pushes the result further: a 0.92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supports both variants. A parameter heatmap shows the DD25%/Cool40 parameters sit in a broad region of strong performance, not on a fragile peak. Walk-forward validation (train 2009-2016, test 2017-2026) confirms the approach works out-of-sample. And a synthetic pre-2009 stress test shows the strategy provides modest benefit even through the worst decade in modern market history.</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 am long SPY (5,000+ shares across multiple accounts) and hold deep in-the-money SPY and QQQ LEAPS calls. I do not hold UPRO.</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