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23BD6B" w14:textId="77777777" w:rsidR="00D504B6" w:rsidRDefault="00000000">
      <w:pPr>
        <w:pStyle w:val="Title"/>
        <w:jc w:val="center"/>
      </w:pPr>
      <w:r>
        <w:t>Long-term Profits by Leveraging the S&amp;P 500</w:t>
      </w:r>
    </w:p>
    <w:p w14:paraId="5226723C" w14:textId="77777777" w:rsidR="00D504B6" w:rsidRDefault="00000000">
      <w:pPr>
        <w:pStyle w:val="Heading1"/>
      </w:pPr>
      <w:r>
        <w:t>Summary</w:t>
      </w:r>
    </w:p>
    <w:p w14:paraId="27F942C3" w14:textId="77777777" w:rsidR="00D504B6" w:rsidRDefault="00000000">
      <w:pPr>
        <w:pStyle w:val="ListBullet"/>
      </w:pPr>
      <w:r>
        <w:t>The S&amp;P 500 has compounded at roughly 10% per year (with dividends) since 1950, turning $10,000 into over $4 million. Leveraged ETFs like SSO (2x) and UPRO (3x) amplify those returns -- UPRO has turned $100K into ~$9.5M since 2009 -- but with devastating drawdowns that most investors cannot survive.</w:t>
      </w:r>
    </w:p>
    <w:p w14:paraId="2082F9F3" w14:textId="77777777" w:rsidR="00D504B6" w:rsidRDefault="00000000">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14:paraId="5BBBA136" w14:textId="52F94B1A" w:rsidR="00D504B6" w:rsidRDefault="00000000">
      <w:pPr>
        <w:pStyle w:val="ListBullet"/>
      </w:pPr>
      <w:r>
        <w:t xml:space="preserve">The best risk-adjusted strategy -- a simple drawdown </w:t>
      </w:r>
      <w:proofErr w:type="gramStart"/>
      <w:r>
        <w:t>exit</w:t>
      </w:r>
      <w:proofErr w:type="gramEnd"/>
      <w:r>
        <w:t xml:space="preserve"> with a cooling period -- delivered a 0.85 Sharpe ratio (vs 0.77 for UPRO buy-and-hold and 0.81 for plain SPY</w:t>
      </w:r>
      <w:r w:rsidR="00F550D0">
        <w:t xml:space="preserve"> B&amp;H</w:t>
      </w:r>
      <w:r>
        <w:t>) and cut the maximum drawdown from -77% to -42%, at the cost of about 12% less terminal wealth. Walk-forward validation, parameter heatmaps, and a synthetic pre-2009 stress test suggest the parameters are not a fragile optimum, but block-bootstrap analysis shows the Sharpe advantage depends materially on the sequencing of returns -- making this a useful practical overlay for recent-style regimes, not a universal improvement.</w:t>
      </w:r>
    </w:p>
    <w:p w14:paraId="48248ED3" w14:textId="77777777" w:rsidR="00D504B6" w:rsidRDefault="00000000">
      <w:pPr>
        <w:pStyle w:val="ListBullet"/>
      </w:pPr>
      <w:r>
        <w:t>An enhancement: parking idle cash in TLT (long-term Treasuries) instead of T-bills during cooling periods pushes the Sharpe to 0.88 and terminal wealth to $10.4M -- actually beating UPRO buy-and-hold -- by harvesting flight-to-quality rallies when stocks crash. Block-bootstrap analysis (reshuffling paired UPRO/TLT return blocks and re-running the strategy) shows both variants maintain positive Sharpe in 99.8%+ of simulations, though TLT's advantage over T-bills is regime-dependent rather than structural.</w:t>
      </w:r>
    </w:p>
    <w:p w14:paraId="3D88184F" w14:textId="77777777" w:rsidR="00D504B6" w:rsidRDefault="00000000">
      <w:pPr>
        <w:pStyle w:val="Heading1"/>
      </w:pPr>
      <w:r>
        <w:t>The Case for Leveraged Index Investing</w:t>
      </w:r>
    </w:p>
    <w:p w14:paraId="29195881" w14:textId="77777777" w:rsidR="00D504B6" w:rsidRDefault="00000000">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14:paraId="4C65237B" w14:textId="77777777" w:rsidR="00D504B6" w:rsidRDefault="00000000">
      <w:r>
        <w:t>With such a strong track record, a natural question arises: what would happen if the investment were leveraged?</w:t>
      </w:r>
    </w:p>
    <w:p w14:paraId="5F0EFE9F" w14:textId="77777777" w:rsidR="00D504B6" w:rsidRDefault="00000000">
      <w:r>
        <w:t xml:space="preserve">Two exchange-traded funds make this straightforward for retail investors. </w:t>
      </w:r>
      <w:r>
        <w:rPr>
          <w:b/>
        </w:rPr>
        <w:t>SSO</w:t>
      </w:r>
      <w:r>
        <w:t xml:space="preserve"> (ProShares Ultra S&amp;P 500) provides 2x daily leveraged exposure to the S&amp;P 500 and has been available since June </w:t>
      </w:r>
      <w:r>
        <w:lastRenderedPageBreak/>
        <w:t xml:space="preserve">2006. </w:t>
      </w:r>
      <w:r>
        <w:rPr>
          <w:b/>
        </w:rPr>
        <w:t>UPRO</w:t>
      </w:r>
      <w:r>
        <w:t xml:space="preserve"> (ProShares UltraPro S&amp;P 500) provides 3x daily leverage and launched in June 2009. Both reset their leverage ratio daily -- a critical mechanical detail I'll return to shortly.</w:t>
      </w:r>
    </w:p>
    <w:p w14:paraId="5D4B0AE7" w14:textId="77777777" w:rsidR="00D504B6" w:rsidRDefault="00000000">
      <w:r>
        <w:t>The raw numbers are compelling. Since inception, a $100,000 investment in SSO would have grown to approximately $1.5 million (a 14.9% compound annual growth rate). UPRO has been even more dramatic: $100,000 invested at inception has grown to roughly $9.5 million, a 31.4% CAGR over 16+ years. No mainstream ETF comes close to these figures.</w:t>
      </w:r>
    </w:p>
    <w:p w14:paraId="22EE2466" w14:textId="77777777" w:rsidR="00D504B6" w:rsidRDefault="00000000">
      <w:r>
        <w:t>But these headline returns mask serious risks that most investors underestimate.</w:t>
      </w:r>
    </w:p>
    <w:p w14:paraId="24F726C9" w14:textId="77777777" w:rsidR="00D504B6" w:rsidRDefault="00000000">
      <w:pPr>
        <w:pStyle w:val="Heading1"/>
      </w:pPr>
      <w:r>
        <w:t>The Problem With Leveraged ETFs</w:t>
      </w:r>
    </w:p>
    <w:p w14:paraId="3897BCAB" w14:textId="77777777" w:rsidR="00D504B6" w:rsidRDefault="00000000">
      <w:r>
        <w:t>UPRO's track record is one of the most striking backtests in retail investing. A 31% CAGR turns $100K into nearly 100x in 16 years. The temptation to simply buy and hold is powerful.</w:t>
      </w:r>
    </w:p>
    <w:p w14:paraId="302DC92F" w14:textId="77777777" w:rsidR="00D504B6" w:rsidRDefault="00000000">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14:paraId="678BDA7A" w14:textId="77777777" w:rsidR="00D504B6" w:rsidRDefault="00000000">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14:paraId="7B496251" w14:textId="5F436002" w:rsidR="00D504B6" w:rsidRDefault="00000000">
      <w:r>
        <w:t>M</w:t>
      </w:r>
      <w:r w:rsidR="00F550D0">
        <w:t>any</w:t>
      </w:r>
      <w:r>
        <w:t xml:space="preserve"> people </w:t>
      </w:r>
      <w:r w:rsidR="00F550D0">
        <w:t xml:space="preserve">blink and </w:t>
      </w:r>
      <w:r>
        <w:t>sell at the bottom. The backtested returns assume you don't.</w:t>
      </w:r>
    </w:p>
    <w:p w14:paraId="494DC220" w14:textId="77777777" w:rsidR="00D504B6" w:rsidRDefault="00000000">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14:paraId="471D137A" w14:textId="77777777" w:rsidR="00D504B6" w:rsidRDefault="00000000">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14:paraId="4180FE98" w14:textId="77777777" w:rsidR="00D504B6" w:rsidRDefault="00000000">
      <w:pPr>
        <w:pStyle w:val="Heading1"/>
      </w:pPr>
      <w:r>
        <w:t>What I Tested</w:t>
      </w:r>
    </w:p>
    <w:p w14:paraId="0CB3EDCE" w14:textId="77777777" w:rsidR="00D504B6" w:rsidRDefault="00000000">
      <w:r>
        <w:t xml:space="preserve">I used actual UPRO daily prices from inception (June 25, 2009) through March 2026 -- over 16 years. Starting capital was $100,000. When a strategy signals "out," the portfolio moves to cash </w:t>
      </w:r>
      <w:r>
        <w:lastRenderedPageBreak/>
        <w:t>earning the prevailing 13-week T-bill rate (a realistic assumption reflecting money market fund yields).</w:t>
      </w:r>
    </w:p>
    <w:p w14:paraId="6DB6B07B" w14:textId="77777777" w:rsidR="00D504B6" w:rsidRDefault="00000000">
      <w:r>
        <w:rPr>
          <w:b/>
        </w:rPr>
        <w:t>Methodology Note:</w:t>
      </w:r>
    </w:p>
    <w:p w14:paraId="149D44D0" w14:textId="77777777" w:rsidR="00D504B6" w:rsidRDefault="00000000">
      <w:pPr>
        <w:pStyle w:val="ListBullet"/>
      </w:pPr>
      <w:r>
        <w:rPr>
          <w:b/>
        </w:rPr>
        <w:t>Data:</w:t>
      </w:r>
      <w:r>
        <w:t xml:space="preserve"> Yahoo Finance, dividend-adjusted (auto_adjust). All returns include reinvested distributions for all instruments (see Limitations section for details).</w:t>
      </w:r>
    </w:p>
    <w:p w14:paraId="7065A937" w14:textId="77777777" w:rsidR="00D504B6" w:rsidRDefault="00000000">
      <w:pPr>
        <w:pStyle w:val="ListBullet"/>
      </w:pPr>
      <w:r>
        <w:rPr>
          <w:b/>
        </w:rPr>
        <w:t>Execution:</w:t>
      </w:r>
      <w:r>
        <w:t xml:space="preserve"> All signals use prior-day closing data, with trades executed at the following market open. There is no look-ahead bias and no same-day execution.</w:t>
      </w:r>
    </w:p>
    <w:p w14:paraId="07199207" w14:textId="77777777" w:rsidR="00D504B6" w:rsidRDefault="00000000">
      <w:pPr>
        <w:pStyle w:val="ListBullet"/>
      </w:pPr>
      <w:r>
        <w:rPr>
          <w:b/>
        </w:rPr>
        <w:t>Cash yield:</w:t>
      </w:r>
      <w:r>
        <w:t xml:space="preserve"> Cash earns the prevailing 13-week Treasury bill rate (^IRX). The quoted annual yield is converted to a daily rate assuming 252 trading days per year and compounded on each trading day when the strategy is in cash.</w:t>
      </w:r>
    </w:p>
    <w:p w14:paraId="7B03D182" w14:textId="77777777" w:rsidR="00D504B6" w:rsidRDefault="00000000">
      <w:pPr>
        <w:pStyle w:val="ListBullet"/>
      </w:pPr>
      <w:r>
        <w:rPr>
          <w:b/>
        </w:rPr>
        <w:t>Slippage:</w:t>
      </w:r>
      <w:r>
        <w:t xml:space="preserve"> Not modeled. Given the liquidity of the instruments tested (UPRO, SPY, TLT), the impact should be small relative to the magnitude of the results, though open-auction spreads can widen during stress periods.</w:t>
      </w:r>
    </w:p>
    <w:p w14:paraId="5C89668E" w14:textId="77777777" w:rsidR="00D504B6" w:rsidRDefault="00000000">
      <w:pPr>
        <w:pStyle w:val="ListBullet"/>
      </w:pPr>
      <w:r>
        <w:rPr>
          <w:b/>
        </w:rPr>
        <w:t>No intraday stops:</w:t>
      </w:r>
      <w:r>
        <w:t xml:space="preserve"> All signals are end-of-day close-based. No intraday monitoring is required. All-time highs and drawdowns are measured on closing prices, not intraday.</w:t>
      </w:r>
    </w:p>
    <w:p w14:paraId="1E303905" w14:textId="77777777" w:rsidR="00D504B6" w:rsidRDefault="00000000">
      <w:pPr>
        <w:pStyle w:val="ListBullet"/>
      </w:pPr>
      <w:r>
        <w:rPr>
          <w:b/>
        </w:rPr>
        <w:t>Sharpe and Sortino ratios:</w:t>
      </w:r>
      <w:r>
        <w:t xml:space="preserve"> Computed using excess returns over the average 13-week T-bill rate (^IRX) prevailing during the strategy's time period, annualized. Calmar ratio uses excess CAGR over the same average risk-free rate.</w:t>
      </w:r>
    </w:p>
    <w:p w14:paraId="3B0829B7" w14:textId="77777777" w:rsidR="00D504B6" w:rsidRDefault="00000000">
      <w:r>
        <w:t>Here are the five strategies:</w:t>
      </w:r>
    </w:p>
    <w:p w14:paraId="43353476" w14:textId="77777777" w:rsidR="00D504B6" w:rsidRDefault="00000000">
      <w:r>
        <w:rPr>
          <w:b/>
        </w:rPr>
        <w:t>1. VIX-Based Regime Filter.</w:t>
      </w:r>
      <w:r>
        <w:t xml:space="preserve"> Hold UPRO only when the VIX closes below a threshold. I tested four thresholds: 15, 20, 25, and 30. The logic is simple: elevated VIX means elevated risk, so step aside.</w:t>
      </w:r>
    </w:p>
    <w:p w14:paraId="6B2A6AAE" w14:textId="77777777" w:rsidR="00D504B6" w:rsidRDefault="00000000">
      <w:r>
        <w:rPr>
          <w:b/>
        </w:rPr>
        <w:t>2. Dual Momentum.</w:t>
      </w:r>
      <w:r>
        <w:t xml:space="preserve"> Based on Gary Antonacci's framework: hold UPRO when SPY's trailing 12-month return is positive (absolute momentum) AND SPY is outperforming TLT (relative momentum). When either condition fails, move to cash.</w:t>
      </w:r>
    </w:p>
    <w:p w14:paraId="554B90EB" w14:textId="77777777" w:rsidR="00D504B6" w:rsidRDefault="00000000">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14:paraId="4F035D03" w14:textId="77777777" w:rsidR="00D504B6" w:rsidRDefault="00000000">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14:paraId="4F142D88" w14:textId="77777777" w:rsidR="00D504B6" w:rsidRDefault="00000000">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w="0" w:type="auto"/>
        <w:jc w:val="center"/>
        <w:tblLook w:val="04A0" w:firstRow="1" w:lastRow="0" w:firstColumn="1" w:lastColumn="0" w:noHBand="0" w:noVBand="1"/>
      </w:tblPr>
      <w:tblGrid>
        <w:gridCol w:w="2196"/>
        <w:gridCol w:w="2196"/>
        <w:gridCol w:w="2196"/>
        <w:gridCol w:w="2196"/>
      </w:tblGrid>
      <w:tr w:rsidR="00D504B6" w14:paraId="3EAA3DBE"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54239465" w14:textId="77777777" w:rsidR="00D504B6" w:rsidRDefault="00000000">
            <w:pPr>
              <w:jc w:val="center"/>
            </w:pPr>
            <w:r>
              <w:rPr>
                <w:sz w:val="18"/>
              </w:rPr>
              <w:t>Strategy</w:t>
            </w:r>
          </w:p>
        </w:tc>
        <w:tc>
          <w:tcPr>
            <w:tcW w:w="2196" w:type="dxa"/>
          </w:tcPr>
          <w:p w14:paraId="7400C64C"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Signal Type</w:t>
            </w:r>
          </w:p>
        </w:tc>
        <w:tc>
          <w:tcPr>
            <w:tcW w:w="2196" w:type="dxa"/>
          </w:tcPr>
          <w:p w14:paraId="5CC4491E"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Variants</w:t>
            </w:r>
          </w:p>
        </w:tc>
        <w:tc>
          <w:tcPr>
            <w:tcW w:w="2196" w:type="dxa"/>
          </w:tcPr>
          <w:p w14:paraId="7135F94F"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What It's Trying to Capture</w:t>
            </w:r>
          </w:p>
        </w:tc>
      </w:tr>
      <w:tr w:rsidR="00D504B6" w14:paraId="4889073A"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240F672F" w14:textId="77777777" w:rsidR="00D504B6" w:rsidRDefault="00000000">
            <w:r>
              <w:rPr>
                <w:sz w:val="18"/>
              </w:rPr>
              <w:t>VIX Filter</w:t>
            </w:r>
          </w:p>
        </w:tc>
        <w:tc>
          <w:tcPr>
            <w:tcW w:w="2196" w:type="dxa"/>
          </w:tcPr>
          <w:p w14:paraId="7DF642A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Volatility regime</w:t>
            </w:r>
          </w:p>
        </w:tc>
        <w:tc>
          <w:tcPr>
            <w:tcW w:w="2196" w:type="dxa"/>
          </w:tcPr>
          <w:p w14:paraId="6B67CC9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2196" w:type="dxa"/>
          </w:tcPr>
          <w:p w14:paraId="081FD70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Avoid high-fear environments</w:t>
            </w:r>
          </w:p>
        </w:tc>
      </w:tr>
      <w:tr w:rsidR="00D504B6" w14:paraId="0300572E"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4BE71430" w14:textId="77777777" w:rsidR="00D504B6" w:rsidRDefault="00000000">
            <w:r>
              <w:rPr>
                <w:sz w:val="18"/>
              </w:rPr>
              <w:lastRenderedPageBreak/>
              <w:t>Dual Momentum</w:t>
            </w:r>
          </w:p>
        </w:tc>
        <w:tc>
          <w:tcPr>
            <w:tcW w:w="2196" w:type="dxa"/>
          </w:tcPr>
          <w:p w14:paraId="7AFE404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Trend + relative strength</w:t>
            </w:r>
          </w:p>
        </w:tc>
        <w:tc>
          <w:tcPr>
            <w:tcW w:w="2196" w:type="dxa"/>
          </w:tcPr>
          <w:p w14:paraId="06F5425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w:t>
            </w:r>
          </w:p>
        </w:tc>
        <w:tc>
          <w:tcPr>
            <w:tcW w:w="2196" w:type="dxa"/>
          </w:tcPr>
          <w:p w14:paraId="09FE7CA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Follow the dominant trend</w:t>
            </w:r>
          </w:p>
        </w:tc>
      </w:tr>
      <w:tr w:rsidR="00D504B6" w14:paraId="2F947D54"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3F1D2AA5" w14:textId="77777777" w:rsidR="00D504B6" w:rsidRDefault="00000000">
            <w:r>
              <w:rPr>
                <w:sz w:val="18"/>
              </w:rPr>
              <w:t>HFEA 55/45</w:t>
            </w:r>
          </w:p>
        </w:tc>
        <w:tc>
          <w:tcPr>
            <w:tcW w:w="2196" w:type="dxa"/>
          </w:tcPr>
          <w:p w14:paraId="5CF9D8D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Diversification</w:t>
            </w:r>
          </w:p>
        </w:tc>
        <w:tc>
          <w:tcPr>
            <w:tcW w:w="2196" w:type="dxa"/>
          </w:tcPr>
          <w:p w14:paraId="78011D0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2196" w:type="dxa"/>
          </w:tcPr>
          <w:p w14:paraId="5DC37CB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Hedge with bonds</w:t>
            </w:r>
          </w:p>
        </w:tc>
      </w:tr>
      <w:tr w:rsidR="00D504B6" w14:paraId="5F6FB0FA"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6E98DB3A" w14:textId="77777777" w:rsidR="00D504B6" w:rsidRDefault="00000000">
            <w:r>
              <w:rPr>
                <w:sz w:val="18"/>
              </w:rPr>
              <w:t>Drawdown Exit</w:t>
            </w:r>
          </w:p>
        </w:tc>
        <w:tc>
          <w:tcPr>
            <w:tcW w:w="2196" w:type="dxa"/>
          </w:tcPr>
          <w:p w14:paraId="791F267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Price-based risk</w:t>
            </w:r>
          </w:p>
        </w:tc>
        <w:tc>
          <w:tcPr>
            <w:tcW w:w="2196" w:type="dxa"/>
          </w:tcPr>
          <w:p w14:paraId="3B14BBA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12</w:t>
            </w:r>
          </w:p>
        </w:tc>
        <w:tc>
          <w:tcPr>
            <w:tcW w:w="2196" w:type="dxa"/>
          </w:tcPr>
          <w:p w14:paraId="2570476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Cut losses, force patience</w:t>
            </w:r>
          </w:p>
        </w:tc>
      </w:tr>
      <w:tr w:rsidR="00D504B6" w14:paraId="5492E339"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5AE54501" w14:textId="77777777" w:rsidR="00D504B6" w:rsidRDefault="00000000">
            <w:r>
              <w:rPr>
                <w:sz w:val="18"/>
              </w:rPr>
              <w:t>Composite</w:t>
            </w:r>
          </w:p>
        </w:tc>
        <w:tc>
          <w:tcPr>
            <w:tcW w:w="2196" w:type="dxa"/>
          </w:tcPr>
          <w:p w14:paraId="28951D9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Multi-factor</w:t>
            </w:r>
          </w:p>
        </w:tc>
        <w:tc>
          <w:tcPr>
            <w:tcW w:w="2196" w:type="dxa"/>
          </w:tcPr>
          <w:p w14:paraId="7B9C143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2196" w:type="dxa"/>
          </w:tcPr>
          <w:p w14:paraId="2DC0B2A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Combine trend, fear, momentum</w:t>
            </w:r>
          </w:p>
        </w:tc>
      </w:tr>
    </w:tbl>
    <w:p w14:paraId="2223D5C7" w14:textId="77777777" w:rsidR="00D504B6" w:rsidRDefault="00D504B6"/>
    <w:p w14:paraId="53CD057D" w14:textId="77777777" w:rsidR="00D504B6" w:rsidRDefault="00000000">
      <w:r>
        <w:t>I report CAGR, Sharpe ratio (the standard measure of risk-adjusted return), Sortino ratio, Calmar ratio, maximum drawdown, number of trade signals, and percentage of time invested.</w:t>
      </w:r>
    </w:p>
    <w:p w14:paraId="7B587036" w14:textId="77777777" w:rsidR="00D504B6" w:rsidRDefault="00000000">
      <w:pPr>
        <w:pStyle w:val="Heading1"/>
      </w:pPr>
      <w:r>
        <w:t>The Benchmark: UPRO Buy-and-Hold</w:t>
      </w:r>
    </w:p>
    <w:p w14:paraId="0AD5C5BA" w14:textId="77777777" w:rsidR="00D504B6" w:rsidRDefault="00000000">
      <w:r>
        <w:t>First, let's be clear about what I'm trying to beat -- and what I'm not.</w:t>
      </w:r>
    </w:p>
    <w:tbl>
      <w:tblPr>
        <w:tblStyle w:val="LightGrid-Accent1"/>
        <w:tblW w:w="0" w:type="auto"/>
        <w:jc w:val="center"/>
        <w:tblLook w:val="04A0" w:firstRow="1" w:lastRow="0" w:firstColumn="1" w:lastColumn="0" w:noHBand="0" w:noVBand="1"/>
      </w:tblPr>
      <w:tblGrid>
        <w:gridCol w:w="4392"/>
        <w:gridCol w:w="4392"/>
      </w:tblGrid>
      <w:tr w:rsidR="00D504B6" w14:paraId="2C79D6EB"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92" w:type="dxa"/>
          </w:tcPr>
          <w:p w14:paraId="460F18A8" w14:textId="77777777" w:rsidR="00D504B6" w:rsidRDefault="00000000">
            <w:pPr>
              <w:jc w:val="center"/>
            </w:pPr>
            <w:r>
              <w:rPr>
                <w:sz w:val="18"/>
              </w:rPr>
              <w:t>Metric</w:t>
            </w:r>
          </w:p>
        </w:tc>
        <w:tc>
          <w:tcPr>
            <w:tcW w:w="4392" w:type="dxa"/>
          </w:tcPr>
          <w:p w14:paraId="4C31C5B0"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UPRO Buy &amp; Hold</w:t>
            </w:r>
          </w:p>
        </w:tc>
      </w:tr>
      <w:tr w:rsidR="00D504B6" w14:paraId="67496A55"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92" w:type="dxa"/>
          </w:tcPr>
          <w:p w14:paraId="5936B103" w14:textId="77777777" w:rsidR="00D504B6" w:rsidRDefault="00000000">
            <w:r>
              <w:rPr>
                <w:sz w:val="18"/>
              </w:rPr>
              <w:t>End Value</w:t>
            </w:r>
          </w:p>
        </w:tc>
        <w:tc>
          <w:tcPr>
            <w:tcW w:w="4392" w:type="dxa"/>
          </w:tcPr>
          <w:p w14:paraId="2231B06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$9,530,442</w:t>
            </w:r>
          </w:p>
        </w:tc>
      </w:tr>
      <w:tr w:rsidR="00D504B6" w14:paraId="48FE1EB3"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92" w:type="dxa"/>
          </w:tcPr>
          <w:p w14:paraId="068135F2" w14:textId="77777777" w:rsidR="00D504B6" w:rsidRDefault="00000000">
            <w:r>
              <w:rPr>
                <w:sz w:val="18"/>
              </w:rPr>
              <w:t>CAGR</w:t>
            </w:r>
          </w:p>
        </w:tc>
        <w:tc>
          <w:tcPr>
            <w:tcW w:w="4392" w:type="dxa"/>
          </w:tcPr>
          <w:p w14:paraId="25FF2A1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+31.4%</w:t>
            </w:r>
          </w:p>
        </w:tc>
      </w:tr>
      <w:tr w:rsidR="00D504B6" w14:paraId="01E0E4DD"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92" w:type="dxa"/>
          </w:tcPr>
          <w:p w14:paraId="57ECA646" w14:textId="77777777" w:rsidR="00D504B6" w:rsidRDefault="00000000">
            <w:r>
              <w:rPr>
                <w:sz w:val="18"/>
              </w:rPr>
              <w:t>Sharpe Ratio</w:t>
            </w:r>
          </w:p>
        </w:tc>
        <w:tc>
          <w:tcPr>
            <w:tcW w:w="4392" w:type="dxa"/>
          </w:tcPr>
          <w:p w14:paraId="2CB39ED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0.77</w:t>
            </w:r>
          </w:p>
        </w:tc>
      </w:tr>
      <w:tr w:rsidR="00D504B6" w14:paraId="6F94BC4C"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92" w:type="dxa"/>
          </w:tcPr>
          <w:p w14:paraId="2BB8AE74" w14:textId="77777777" w:rsidR="00D504B6" w:rsidRDefault="00000000">
            <w:r>
              <w:rPr>
                <w:sz w:val="18"/>
              </w:rPr>
              <w:t>Sortino Ratio</w:t>
            </w:r>
          </w:p>
        </w:tc>
        <w:tc>
          <w:tcPr>
            <w:tcW w:w="4392" w:type="dxa"/>
          </w:tcPr>
          <w:p w14:paraId="67096C8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0.95</w:t>
            </w:r>
          </w:p>
        </w:tc>
      </w:tr>
      <w:tr w:rsidR="00D504B6" w14:paraId="616FFDCC"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92" w:type="dxa"/>
          </w:tcPr>
          <w:p w14:paraId="3808A03A" w14:textId="77777777" w:rsidR="00D504B6" w:rsidRDefault="00000000">
            <w:r>
              <w:rPr>
                <w:sz w:val="18"/>
              </w:rPr>
              <w:t>Calmar Ratio</w:t>
            </w:r>
          </w:p>
        </w:tc>
        <w:tc>
          <w:tcPr>
            <w:tcW w:w="4392" w:type="dxa"/>
          </w:tcPr>
          <w:p w14:paraId="3DF7AB3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0.39</w:t>
            </w:r>
          </w:p>
        </w:tc>
      </w:tr>
      <w:tr w:rsidR="00D504B6" w14:paraId="216DF366"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92" w:type="dxa"/>
          </w:tcPr>
          <w:p w14:paraId="20686A61" w14:textId="77777777" w:rsidR="00D504B6" w:rsidRDefault="00000000">
            <w:r>
              <w:rPr>
                <w:sz w:val="18"/>
              </w:rPr>
              <w:t>Max Drawdown</w:t>
            </w:r>
          </w:p>
        </w:tc>
        <w:tc>
          <w:tcPr>
            <w:tcW w:w="4392" w:type="dxa"/>
          </w:tcPr>
          <w:p w14:paraId="60C5DAF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-76.8%</w:t>
            </w:r>
          </w:p>
        </w:tc>
      </w:tr>
      <w:tr w:rsidR="00D504B6" w14:paraId="4EBDCD36"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92" w:type="dxa"/>
          </w:tcPr>
          <w:p w14:paraId="121F5657" w14:textId="77777777" w:rsidR="00D504B6" w:rsidRDefault="00000000">
            <w:r>
              <w:rPr>
                <w:sz w:val="18"/>
              </w:rPr>
              <w:t>Trades</w:t>
            </w:r>
          </w:p>
        </w:tc>
        <w:tc>
          <w:tcPr>
            <w:tcW w:w="4392" w:type="dxa"/>
          </w:tcPr>
          <w:p w14:paraId="5740099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w:t>
            </w:r>
          </w:p>
        </w:tc>
      </w:tr>
    </w:tbl>
    <w:p w14:paraId="62767026" w14:textId="77777777" w:rsidR="00D504B6" w:rsidRDefault="00D504B6"/>
    <w:p w14:paraId="74B95258" w14:textId="77777777" w:rsidR="00D504B6" w:rsidRDefault="00000000">
      <w:r>
        <w:t xml:space="preserve">These are extraordinary numbers. With T-bill cash, no timing strategy in this analysis matches buy-and-hold on total return -- though as I show later, parking idle cash in TLT during cooling periods does beat it. If maximizing terminal wealth is your only goal and you have the iron stomach to hold through a -77% drawdown -- and I mean genuinely hold, not just say you would in a hypothetical -- then buy-and-hold is hard to beat. (For comparison, plain SPY buy-and-hold over the same period has a 0.81 Sharpe -- UPRO's 3x leverage actually </w:t>
      </w:r>
      <w:r>
        <w:rPr>
          <w:i/>
        </w:rPr>
        <w:t>reduces</w:t>
      </w:r>
      <w:r>
        <w:t xml:space="preserve"> risk-adjusted returns while tripling the volatility.)</w:t>
      </w:r>
    </w:p>
    <w:p w14:paraId="0498F36E" w14:textId="77777777" w:rsidR="00D504B6" w:rsidRDefault="00000000">
      <w:r>
        <w:t xml:space="preserve">But an important caveat that deserves emphasis: this entire test period is overwhelmingly bullish. UPRO's inception happened to coincide with the beginning of the longest bull market in American history -- the run from March 2009 to February 2020, roughly 131 months before it ended with the COVID crash. Every timing strategy that says "hold UPRO most of the time" will look great in a period that is almost entirely up. There is no actual UPRO data for 2000-2009, which would have been devastating. The 2009-2026 period includes drawdowns, but they were all followed by sharp recoveries -- a pattern that may not repeat. Results from this period should be treated as evidence of what </w:t>
      </w:r>
      <w:r>
        <w:rPr>
          <w:i/>
        </w:rPr>
        <w:t>has</w:t>
      </w:r>
      <w:r>
        <w:t xml:space="preserve"> worked, not a guarantee of what </w:t>
      </w:r>
      <w:r>
        <w:rPr>
          <w:i/>
        </w:rPr>
        <w:t>will</w:t>
      </w:r>
      <w:r>
        <w:t xml:space="preserve"> work. (I address the pre-2009 gap with a synthetic backtest in the robustness section below.)</w:t>
      </w:r>
    </w:p>
    <w:p w14:paraId="7ABF875E" w14:textId="77777777" w:rsidR="00D504B6" w:rsidRDefault="00000000">
      <w:r>
        <w:lastRenderedPageBreak/>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14:paraId="20B91B22" w14:textId="77777777" w:rsidR="00D504B6" w:rsidRDefault="00000000">
      <w:pPr>
        <w:pStyle w:val="Heading1"/>
      </w:pPr>
      <w:r>
        <w:t>The Cost of Daily Leverage: UPRO vs. Synthetic 3x SPY</w:t>
      </w:r>
    </w:p>
    <w:p w14:paraId="7852B619" w14:textId="77777777" w:rsidR="00D504B6" w:rsidRDefault="00000000">
      <w:r>
        <w:t>Before getting to timing strategies, it's worth understanding what UPRO actually costs you relative to other ways of getting 3x exposure to the S&amp;P 500.</w:t>
      </w:r>
    </w:p>
    <w:p w14:paraId="1820D99E" w14:textId="77777777" w:rsidR="00D504B6" w:rsidRDefault="00000000">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 (The 6% margin rate reflects a competitive retail broker rate. Interactive Brokers, the industry's cheapest, currently charges roughly 5-6% all-in depending on account type and balance tier. Most retail brokers charge 8-12%. The all-in rate is the broker's spread over the prevailing benchmark rate, not the spread alone.)</w:t>
      </w:r>
    </w:p>
    <w:p w14:paraId="3F4931AE" w14:textId="77777777" w:rsidR="00D504B6" w:rsidRDefault="00000000">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14:paraId="7603AB49" w14:textId="77777777" w:rsidR="00D504B6" w:rsidRDefault="00000000">
      <w:pPr>
        <w:pStyle w:val="Heading2"/>
      </w:pPr>
      <w:r>
        <w:t>UPRO Era (2009-2026): The Best-Case Scenario</w:t>
      </w:r>
    </w:p>
    <w:tbl>
      <w:tblPr>
        <w:tblStyle w:val="LightGrid-Accent1"/>
        <w:tblW w:w="0" w:type="auto"/>
        <w:jc w:val="center"/>
        <w:tblLook w:val="04A0" w:firstRow="1" w:lastRow="0" w:firstColumn="1" w:lastColumn="0" w:noHBand="0" w:noVBand="1"/>
      </w:tblPr>
      <w:tblGrid>
        <w:gridCol w:w="1464"/>
        <w:gridCol w:w="1464"/>
        <w:gridCol w:w="1464"/>
        <w:gridCol w:w="1464"/>
        <w:gridCol w:w="1464"/>
        <w:gridCol w:w="1464"/>
      </w:tblGrid>
      <w:tr w:rsidR="00D504B6" w14:paraId="3DC50E6B"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05CF0FE0" w14:textId="77777777" w:rsidR="00D504B6" w:rsidRDefault="00000000">
            <w:pPr>
              <w:jc w:val="center"/>
            </w:pPr>
            <w:r>
              <w:rPr>
                <w:sz w:val="18"/>
              </w:rPr>
              <w:t>Strategy</w:t>
            </w:r>
          </w:p>
        </w:tc>
        <w:tc>
          <w:tcPr>
            <w:tcW w:w="1464" w:type="dxa"/>
          </w:tcPr>
          <w:p w14:paraId="73A0BDB1"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End Value</w:t>
            </w:r>
          </w:p>
        </w:tc>
        <w:tc>
          <w:tcPr>
            <w:tcW w:w="1464" w:type="dxa"/>
          </w:tcPr>
          <w:p w14:paraId="789A2DC7"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CAGR</w:t>
            </w:r>
          </w:p>
        </w:tc>
        <w:tc>
          <w:tcPr>
            <w:tcW w:w="1464" w:type="dxa"/>
          </w:tcPr>
          <w:p w14:paraId="4DDB1C82"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Sharpe</w:t>
            </w:r>
          </w:p>
        </w:tc>
        <w:tc>
          <w:tcPr>
            <w:tcW w:w="1464" w:type="dxa"/>
          </w:tcPr>
          <w:p w14:paraId="69E192BF"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Max DD</w:t>
            </w:r>
          </w:p>
        </w:tc>
        <w:tc>
          <w:tcPr>
            <w:tcW w:w="1464" w:type="dxa"/>
          </w:tcPr>
          <w:p w14:paraId="0DC79C55"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Notes</w:t>
            </w:r>
          </w:p>
        </w:tc>
      </w:tr>
      <w:tr w:rsidR="00D504B6" w14:paraId="75F7F22C"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4BC6F8C9" w14:textId="77777777" w:rsidR="00D504B6" w:rsidRDefault="00000000">
            <w:r>
              <w:rPr>
                <w:sz w:val="18"/>
              </w:rPr>
              <w:t>SPY B&amp;H (1x)</w:t>
            </w:r>
          </w:p>
        </w:tc>
        <w:tc>
          <w:tcPr>
            <w:tcW w:w="1464" w:type="dxa"/>
          </w:tcPr>
          <w:p w14:paraId="2B430FA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$983,169</w:t>
            </w:r>
          </w:p>
        </w:tc>
        <w:tc>
          <w:tcPr>
            <w:tcW w:w="1464" w:type="dxa"/>
          </w:tcPr>
          <w:p w14:paraId="46BC9BA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+14.7%</w:t>
            </w:r>
          </w:p>
        </w:tc>
        <w:tc>
          <w:tcPr>
            <w:tcW w:w="1464" w:type="dxa"/>
          </w:tcPr>
          <w:p w14:paraId="4CAC975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0.81</w:t>
            </w:r>
          </w:p>
        </w:tc>
        <w:tc>
          <w:tcPr>
            <w:tcW w:w="1464" w:type="dxa"/>
          </w:tcPr>
          <w:p w14:paraId="14376CA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-33.7%</w:t>
            </w:r>
          </w:p>
        </w:tc>
        <w:tc>
          <w:tcPr>
            <w:tcW w:w="1464" w:type="dxa"/>
          </w:tcPr>
          <w:p w14:paraId="2D50206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Unlevered baseline</w:t>
            </w:r>
          </w:p>
        </w:tc>
      </w:tr>
      <w:tr w:rsidR="00D504B6" w14:paraId="67F15293"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44126B42" w14:textId="77777777" w:rsidR="00D504B6" w:rsidRDefault="00000000">
            <w:r>
              <w:rPr>
                <w:sz w:val="18"/>
              </w:rPr>
              <w:t>Synthetic 3x (no cost)</w:t>
            </w:r>
          </w:p>
        </w:tc>
        <w:tc>
          <w:tcPr>
            <w:tcW w:w="1464" w:type="dxa"/>
          </w:tcPr>
          <w:p w14:paraId="11A9A4C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$21,250,484</w:t>
            </w:r>
          </w:p>
        </w:tc>
        <w:tc>
          <w:tcPr>
            <w:tcW w:w="1464" w:type="dxa"/>
          </w:tcPr>
          <w:p w14:paraId="342281E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+37.9%</w:t>
            </w:r>
          </w:p>
        </w:tc>
        <w:tc>
          <w:tcPr>
            <w:tcW w:w="1464" w:type="dxa"/>
          </w:tcPr>
          <w:p w14:paraId="2ADDD26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0.86</w:t>
            </w:r>
          </w:p>
        </w:tc>
        <w:tc>
          <w:tcPr>
            <w:tcW w:w="1464" w:type="dxa"/>
          </w:tcPr>
          <w:p w14:paraId="1ADCC92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-76.1%</w:t>
            </w:r>
          </w:p>
        </w:tc>
        <w:tc>
          <w:tcPr>
            <w:tcW w:w="1464" w:type="dxa"/>
          </w:tcPr>
          <w:p w14:paraId="231E997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Daily rebalanced, frictionless</w:t>
            </w:r>
          </w:p>
        </w:tc>
      </w:tr>
      <w:tr w:rsidR="00D504B6" w14:paraId="0C773DB9"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2FF9B908" w14:textId="77777777" w:rsidR="00D504B6" w:rsidRDefault="00000000">
            <w:r>
              <w:rPr>
                <w:sz w:val="18"/>
              </w:rPr>
              <w:t>Synthetic 3x (6% margin)</w:t>
            </w:r>
          </w:p>
        </w:tc>
        <w:tc>
          <w:tcPr>
            <w:tcW w:w="1464" w:type="dxa"/>
          </w:tcPr>
          <w:p w14:paraId="1A3C236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$2,880,158</w:t>
            </w:r>
          </w:p>
        </w:tc>
        <w:tc>
          <w:tcPr>
            <w:tcW w:w="1464" w:type="dxa"/>
          </w:tcPr>
          <w:p w14:paraId="1026E27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+22.3%</w:t>
            </w:r>
          </w:p>
        </w:tc>
        <w:tc>
          <w:tcPr>
            <w:tcW w:w="1464" w:type="dxa"/>
          </w:tcPr>
          <w:p w14:paraId="3EC9A91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0.63</w:t>
            </w:r>
          </w:p>
        </w:tc>
        <w:tc>
          <w:tcPr>
            <w:tcW w:w="1464" w:type="dxa"/>
          </w:tcPr>
          <w:p w14:paraId="5969DA3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-76.4%</w:t>
            </w:r>
          </w:p>
        </w:tc>
        <w:tc>
          <w:tcPr>
            <w:tcW w:w="1464" w:type="dxa"/>
          </w:tcPr>
          <w:p w14:paraId="4CE51C3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Daily rebalanced, with borrowing cost</w:t>
            </w:r>
          </w:p>
        </w:tc>
      </w:tr>
      <w:tr w:rsidR="00D504B6" w14:paraId="638AB69D"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5587A557" w14:textId="77777777" w:rsidR="00D504B6" w:rsidRDefault="00000000">
            <w:r>
              <w:rPr>
                <w:sz w:val="18"/>
              </w:rPr>
              <w:t>Static 3x (6% margin)</w:t>
            </w:r>
          </w:p>
        </w:tc>
        <w:tc>
          <w:tcPr>
            <w:tcW w:w="1464" w:type="dxa"/>
          </w:tcPr>
          <w:p w14:paraId="4FDEF13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$2,406,044</w:t>
            </w:r>
          </w:p>
        </w:tc>
        <w:tc>
          <w:tcPr>
            <w:tcW w:w="1464" w:type="dxa"/>
          </w:tcPr>
          <w:p w14:paraId="36D8B96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+21.0%</w:t>
            </w:r>
          </w:p>
        </w:tc>
        <w:tc>
          <w:tcPr>
            <w:tcW w:w="1464" w:type="dxa"/>
          </w:tcPr>
          <w:p w14:paraId="334E5A6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0.75</w:t>
            </w:r>
          </w:p>
        </w:tc>
        <w:tc>
          <w:tcPr>
            <w:tcW w:w="1464" w:type="dxa"/>
          </w:tcPr>
          <w:p w14:paraId="5FEEBFB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-46.9%</w:t>
            </w:r>
          </w:p>
        </w:tc>
        <w:tc>
          <w:tcPr>
            <w:tcW w:w="1464" w:type="dxa"/>
          </w:tcPr>
          <w:p w14:paraId="653CAB7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No margin call (entered at market bottom)</w:t>
            </w:r>
          </w:p>
        </w:tc>
      </w:tr>
      <w:tr w:rsidR="00D504B6" w14:paraId="7EC035F3"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5B8CA2B0" w14:textId="77777777" w:rsidR="00D504B6" w:rsidRDefault="00000000">
            <w:r>
              <w:rPr>
                <w:sz w:val="18"/>
              </w:rPr>
              <w:t>UPRO B&amp;H</w:t>
            </w:r>
          </w:p>
        </w:tc>
        <w:tc>
          <w:tcPr>
            <w:tcW w:w="1464" w:type="dxa"/>
          </w:tcPr>
          <w:p w14:paraId="3D4A2B3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$9,530,442</w:t>
            </w:r>
          </w:p>
        </w:tc>
        <w:tc>
          <w:tcPr>
            <w:tcW w:w="1464" w:type="dxa"/>
          </w:tcPr>
          <w:p w14:paraId="6169427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+31.4%</w:t>
            </w:r>
          </w:p>
        </w:tc>
        <w:tc>
          <w:tcPr>
            <w:tcW w:w="1464" w:type="dxa"/>
          </w:tcPr>
          <w:p w14:paraId="1E2876E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0.77</w:t>
            </w:r>
          </w:p>
        </w:tc>
        <w:tc>
          <w:tcPr>
            <w:tcW w:w="1464" w:type="dxa"/>
          </w:tcPr>
          <w:p w14:paraId="116625F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-76.8%</w:t>
            </w:r>
          </w:p>
        </w:tc>
        <w:tc>
          <w:tcPr>
            <w:tcW w:w="1464" w:type="dxa"/>
          </w:tcPr>
          <w:p w14:paraId="16CAD7A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Actual ETF</w:t>
            </w:r>
          </w:p>
        </w:tc>
      </w:tr>
    </w:tbl>
    <w:p w14:paraId="2EE29707" w14:textId="77777777" w:rsidR="00D504B6" w:rsidRDefault="00D504B6"/>
    <w:p w14:paraId="45C8A2D0" w14:textId="77777777" w:rsidR="00D504B6" w:rsidRDefault="00000000">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14:paraId="3D1AD30A" w14:textId="77777777" w:rsidR="00D504B6" w:rsidRDefault="00000000">
      <w:r>
        <w:t>The "leverage tax" on UPRO is visible here: a frictionless 3x position would have returned $21.3M vs UPRO's $9.5M. That $11.8M gap is the cumulative cost of UPRO's 0.89% expense ratio, rebalancing slippage, and tracking error over 16+ years. Yet UPRO still crushes margin-based leverage ($2.9M for daily-rebalanced, $2.4M for static) because its embedded borrowing costs are far lower than retail margin rates -- even at the cheapest broker available.</w:t>
      </w:r>
    </w:p>
    <w:p w14:paraId="491EF96E" w14:textId="77777777" w:rsidR="00D504B6" w:rsidRDefault="00000000">
      <w:pPr>
        <w:jc w:val="center"/>
      </w:pPr>
      <w:r>
        <w:rPr>
          <w:noProof/>
        </w:rPr>
        <w:drawing>
          <wp:inline distT="0" distB="0" distL="0" distR="0" wp14:anchorId="1F6A872A" wp14:editId="54D00948">
            <wp:extent cx="5486400" cy="3267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everage_comparison.png"/>
                    <pic:cNvPicPr/>
                  </pic:nvPicPr>
                  <pic:blipFill>
                    <a:blip r:embed="rId6"/>
                    <a:stretch>
                      <a:fillRect/>
                    </a:stretch>
                  </pic:blipFill>
                  <pic:spPr>
                    <a:xfrm>
                      <a:off x="0" y="0"/>
                      <a:ext cx="5486400" cy="3267431"/>
                    </a:xfrm>
                    <a:prstGeom prst="rect">
                      <a:avLst/>
                    </a:prstGeom>
                  </pic:spPr>
                </pic:pic>
              </a:graphicData>
            </a:graphic>
          </wp:inline>
        </w:drawing>
      </w:r>
    </w:p>
    <w:p w14:paraId="4453BFC9" w14:textId="77777777" w:rsidR="00D504B6" w:rsidRDefault="00D504B6"/>
    <w:p w14:paraId="5BF15F27" w14:textId="77777777" w:rsidR="00D504B6" w:rsidRDefault="00000000">
      <w:pPr>
        <w:pStyle w:val="Heading2"/>
      </w:pPr>
      <w:r>
        <w:t>What Happens When You Don't Start at the Bottom</w:t>
      </w:r>
    </w:p>
    <w:p w14:paraId="55DC52E7" w14:textId="77777777" w:rsidR="00D504B6" w:rsidRDefault="00000000">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w="0" w:type="auto"/>
        <w:jc w:val="center"/>
        <w:tblLook w:val="04A0" w:firstRow="1" w:lastRow="0" w:firstColumn="1" w:lastColumn="0" w:noHBand="0" w:noVBand="1"/>
      </w:tblPr>
      <w:tblGrid>
        <w:gridCol w:w="1757"/>
        <w:gridCol w:w="1757"/>
        <w:gridCol w:w="1757"/>
        <w:gridCol w:w="1757"/>
        <w:gridCol w:w="1757"/>
      </w:tblGrid>
      <w:tr w:rsidR="00D504B6" w14:paraId="259C7DE5"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00654BCD" w14:textId="77777777" w:rsidR="00D504B6" w:rsidRDefault="00000000">
            <w:pPr>
              <w:jc w:val="center"/>
            </w:pPr>
            <w:r>
              <w:rPr>
                <w:sz w:val="18"/>
              </w:rPr>
              <w:t>Period</w:t>
            </w:r>
          </w:p>
        </w:tc>
        <w:tc>
          <w:tcPr>
            <w:tcW w:w="1757" w:type="dxa"/>
          </w:tcPr>
          <w:p w14:paraId="4919AFD2"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S&amp;P 500 Return</w:t>
            </w:r>
          </w:p>
        </w:tc>
        <w:tc>
          <w:tcPr>
            <w:tcW w:w="1757" w:type="dxa"/>
          </w:tcPr>
          <w:p w14:paraId="797AD58B"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Static 3x Result</w:t>
            </w:r>
          </w:p>
        </w:tc>
        <w:tc>
          <w:tcPr>
            <w:tcW w:w="1757" w:type="dxa"/>
          </w:tcPr>
          <w:p w14:paraId="785F1DF1"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Margin Call Date</w:t>
            </w:r>
          </w:p>
        </w:tc>
        <w:tc>
          <w:tcPr>
            <w:tcW w:w="1757" w:type="dxa"/>
          </w:tcPr>
          <w:p w14:paraId="740CAED8"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Equity at Liquidation</w:t>
            </w:r>
          </w:p>
        </w:tc>
      </w:tr>
      <w:tr w:rsidR="00D504B6" w14:paraId="04A00167"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7F96838B" w14:textId="77777777" w:rsidR="00D504B6" w:rsidRDefault="00000000">
            <w:r>
              <w:rPr>
                <w:sz w:val="18"/>
              </w:rPr>
              <w:t>Full History (1950-2026)</w:t>
            </w:r>
          </w:p>
        </w:tc>
        <w:tc>
          <w:tcPr>
            <w:tcW w:w="1757" w:type="dxa"/>
          </w:tcPr>
          <w:p w14:paraId="4C41650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+41,206%</w:t>
            </w:r>
          </w:p>
        </w:tc>
        <w:tc>
          <w:tcPr>
            <w:tcW w:w="1757" w:type="dxa"/>
          </w:tcPr>
          <w:p w14:paraId="03CDAF5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Margin call</w:t>
            </w:r>
          </w:p>
        </w:tc>
        <w:tc>
          <w:tcPr>
            <w:tcW w:w="1757" w:type="dxa"/>
          </w:tcPr>
          <w:p w14:paraId="04CD32E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Sept 30, 1974</w:t>
            </w:r>
          </w:p>
        </w:tc>
        <w:tc>
          <w:tcPr>
            <w:tcW w:w="1757" w:type="dxa"/>
          </w:tcPr>
          <w:p w14:paraId="4F261FD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$269,500</w:t>
            </w:r>
          </w:p>
        </w:tc>
      </w:tr>
      <w:tr w:rsidR="00D504B6" w14:paraId="4AD907A9"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096289CA" w14:textId="77777777" w:rsidR="00D504B6" w:rsidRDefault="00000000">
            <w:r>
              <w:rPr>
                <w:sz w:val="18"/>
              </w:rPr>
              <w:t>SPY Era (1993-2026)</w:t>
            </w:r>
          </w:p>
        </w:tc>
        <w:tc>
          <w:tcPr>
            <w:tcW w:w="1757" w:type="dxa"/>
          </w:tcPr>
          <w:p w14:paraId="244CB4CB"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+1,468%</w:t>
            </w:r>
          </w:p>
        </w:tc>
        <w:tc>
          <w:tcPr>
            <w:tcW w:w="1757" w:type="dxa"/>
          </w:tcPr>
          <w:p w14:paraId="2DC0A23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Margin call</w:t>
            </w:r>
          </w:p>
        </w:tc>
        <w:tc>
          <w:tcPr>
            <w:tcW w:w="1757" w:type="dxa"/>
          </w:tcPr>
          <w:p w14:paraId="521CFDD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Oct 7, 2008</w:t>
            </w:r>
          </w:p>
        </w:tc>
        <w:tc>
          <w:tcPr>
            <w:tcW w:w="1757" w:type="dxa"/>
          </w:tcPr>
          <w:p w14:paraId="3D42E85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$168,710</w:t>
            </w:r>
          </w:p>
        </w:tc>
      </w:tr>
      <w:tr w:rsidR="00D504B6" w14:paraId="4E20E8C3"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0307AA00" w14:textId="77777777" w:rsidR="00D504B6" w:rsidRDefault="00000000">
            <w:r>
              <w:rPr>
                <w:sz w:val="18"/>
              </w:rPr>
              <w:t>Lost Decade (2000-</w:t>
            </w:r>
            <w:r>
              <w:rPr>
                <w:sz w:val="18"/>
              </w:rPr>
              <w:lastRenderedPageBreak/>
              <w:t>2009)</w:t>
            </w:r>
          </w:p>
        </w:tc>
        <w:tc>
          <w:tcPr>
            <w:tcW w:w="1757" w:type="dxa"/>
          </w:tcPr>
          <w:p w14:paraId="5811800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lastRenderedPageBreak/>
              <w:t>-23%</w:t>
            </w:r>
          </w:p>
        </w:tc>
        <w:tc>
          <w:tcPr>
            <w:tcW w:w="1757" w:type="dxa"/>
          </w:tcPr>
          <w:p w14:paraId="3269E8C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Margin call</w:t>
            </w:r>
          </w:p>
        </w:tc>
        <w:tc>
          <w:tcPr>
            <w:tcW w:w="1757" w:type="dxa"/>
          </w:tcPr>
          <w:p w14:paraId="2413454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Oct 12, 2000</w:t>
            </w:r>
          </w:p>
        </w:tc>
        <w:tc>
          <w:tcPr>
            <w:tcW w:w="1757" w:type="dxa"/>
          </w:tcPr>
          <w:p w14:paraId="12547BE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$64,537</w:t>
            </w:r>
          </w:p>
        </w:tc>
      </w:tr>
      <w:tr w:rsidR="00D504B6" w14:paraId="536EE1AD"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5F8E5701" w14:textId="77777777" w:rsidR="00D504B6" w:rsidRDefault="00000000">
            <w:r>
              <w:rPr>
                <w:sz w:val="18"/>
              </w:rPr>
              <w:t>GFC Peak-to-Trough (Oct 2007 - Mar 2009)</w:t>
            </w:r>
          </w:p>
        </w:tc>
        <w:tc>
          <w:tcPr>
            <w:tcW w:w="1757" w:type="dxa"/>
          </w:tcPr>
          <w:p w14:paraId="72ACBD38"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-57%</w:t>
            </w:r>
          </w:p>
        </w:tc>
        <w:tc>
          <w:tcPr>
            <w:tcW w:w="1757" w:type="dxa"/>
          </w:tcPr>
          <w:p w14:paraId="67E3F0D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Margin call</w:t>
            </w:r>
          </w:p>
        </w:tc>
        <w:tc>
          <w:tcPr>
            <w:tcW w:w="1757" w:type="dxa"/>
          </w:tcPr>
          <w:p w14:paraId="2E9B971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Jan 8, 2008</w:t>
            </w:r>
          </w:p>
        </w:tc>
        <w:tc>
          <w:tcPr>
            <w:tcW w:w="1757" w:type="dxa"/>
          </w:tcPr>
          <w:p w14:paraId="21FF1FA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$63,491</w:t>
            </w:r>
          </w:p>
        </w:tc>
      </w:tr>
      <w:tr w:rsidR="00D504B6" w14:paraId="713DFBBB"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5FD47BAB" w14:textId="77777777" w:rsidR="00D504B6" w:rsidRDefault="00000000">
            <w:r>
              <w:rPr>
                <w:sz w:val="18"/>
              </w:rPr>
              <w:t>Dot-Com Crash (Mar 2000 - Oct 2002)</w:t>
            </w:r>
          </w:p>
        </w:tc>
        <w:tc>
          <w:tcPr>
            <w:tcW w:w="1757" w:type="dxa"/>
          </w:tcPr>
          <w:p w14:paraId="7599367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-49%</w:t>
            </w:r>
          </w:p>
        </w:tc>
        <w:tc>
          <w:tcPr>
            <w:tcW w:w="1757" w:type="dxa"/>
          </w:tcPr>
          <w:p w14:paraId="11CA9FC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Margin call</w:t>
            </w:r>
          </w:p>
        </w:tc>
        <w:tc>
          <w:tcPr>
            <w:tcW w:w="1757" w:type="dxa"/>
          </w:tcPr>
          <w:p w14:paraId="255FC87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Apr 14, 2000</w:t>
            </w:r>
          </w:p>
        </w:tc>
        <w:tc>
          <w:tcPr>
            <w:tcW w:w="1757" w:type="dxa"/>
          </w:tcPr>
          <w:p w14:paraId="669B5CA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$65,719</w:t>
            </w:r>
          </w:p>
        </w:tc>
      </w:tr>
      <w:tr w:rsidR="00D504B6" w14:paraId="6C41F6B8"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71EF344F" w14:textId="77777777" w:rsidR="00D504B6" w:rsidRDefault="00000000">
            <w:r>
              <w:rPr>
                <w:sz w:val="18"/>
              </w:rPr>
              <w:t>UPRO Era (Jun 2009 - Mar 2026)</w:t>
            </w:r>
          </w:p>
        </w:tc>
        <w:tc>
          <w:tcPr>
            <w:tcW w:w="1757" w:type="dxa"/>
          </w:tcPr>
          <w:p w14:paraId="00B6B2D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+648%</w:t>
            </w:r>
          </w:p>
        </w:tc>
        <w:tc>
          <w:tcPr>
            <w:tcW w:w="1757" w:type="dxa"/>
          </w:tcPr>
          <w:p w14:paraId="7BF68FA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No margin call</w:t>
            </w:r>
          </w:p>
        </w:tc>
        <w:tc>
          <w:tcPr>
            <w:tcW w:w="1757" w:type="dxa"/>
          </w:tcPr>
          <w:p w14:paraId="3CF10AE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N/A</w:t>
            </w:r>
          </w:p>
        </w:tc>
        <w:tc>
          <w:tcPr>
            <w:tcW w:w="1757" w:type="dxa"/>
          </w:tcPr>
          <w:p w14:paraId="063CF9A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$1,700,428</w:t>
            </w:r>
          </w:p>
        </w:tc>
      </w:tr>
    </w:tbl>
    <w:p w14:paraId="39A2F17F" w14:textId="77777777" w:rsidR="00D504B6" w:rsidRDefault="00D504B6"/>
    <w:p w14:paraId="3B176A55" w14:textId="77777777" w:rsidR="00D504B6" w:rsidRDefault="00000000">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w:t>
      </w:r>
    </w:p>
    <w:p w14:paraId="0C570684" w14:textId="77777777" w:rsidR="00D504B6" w:rsidRDefault="00000000">
      <w:r>
        <w:t xml:space="preserve">The full 1950-2026 case is the most instructive. Despite the S&amp;P 500 compounding at +8.2% annually for 76 years, the static 3x account got margin-called during the 1973-74 bear market -- </w:t>
      </w:r>
      <w:r>
        <w:rPr>
          <w:i/>
        </w:rPr>
        <w:t>24 years</w:t>
      </w:r>
      <w:r>
        <w:t xml:space="preserve"> after inception. Here's how: the initial $200K loan compounds at 6% annually, growing to approximately $875K by 1974. Meanwhile, the S&amp;P rose from 17 to a peak of ~120 before crashing to ~64 during the 1973-74 bear market. The account's peak equity reached $1.37M, but by the time the S&amp;P had dropped ~47%, the position value ($1.14M) minus the swollen debt ($875K) left only $269K in equity -- below the 25% maintenance requirement on the position. The margin call fires, the position is liquidated, and the account sits in cash for the remaining 52 years while unlevered S&amp;P 500 grew to $41.3 million. The lesson: even massive accumulated gains cannot overcome the slow poison of compounding interest on a static loan when a severe bear market eventually arrives.</w:t>
      </w:r>
    </w:p>
    <w:p w14:paraId="01A19BF2" w14:textId="77777777" w:rsidR="00D504B6" w:rsidRDefault="00000000">
      <w:pPr>
        <w:pStyle w:val="Heading2"/>
      </w:pPr>
      <w:r>
        <w:t>Daily-Rebalanced 3x Across History</w:t>
      </w:r>
    </w:p>
    <w:p w14:paraId="2FE849EA" w14:textId="77777777" w:rsidR="00D504B6" w:rsidRDefault="00000000">
      <w:r>
        <w:t>The daily-rebalanced strategies can't be margin-called (leverage resets daily), but they face their own demons across longer time horizons:</w:t>
      </w:r>
    </w:p>
    <w:tbl>
      <w:tblPr>
        <w:tblStyle w:val="LightGrid-Accent1"/>
        <w:tblW w:w="0" w:type="auto"/>
        <w:jc w:val="center"/>
        <w:tblLook w:val="04A0" w:firstRow="1" w:lastRow="0" w:firstColumn="1" w:lastColumn="0" w:noHBand="0" w:noVBand="1"/>
      </w:tblPr>
      <w:tblGrid>
        <w:gridCol w:w="2196"/>
        <w:gridCol w:w="2196"/>
        <w:gridCol w:w="2196"/>
        <w:gridCol w:w="2196"/>
      </w:tblGrid>
      <w:tr w:rsidR="00D504B6" w14:paraId="433A2441"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7D6855EB" w14:textId="77777777" w:rsidR="00D504B6" w:rsidRDefault="00000000">
            <w:pPr>
              <w:jc w:val="center"/>
            </w:pPr>
            <w:r>
              <w:rPr>
                <w:sz w:val="18"/>
              </w:rPr>
              <w:t>Period</w:t>
            </w:r>
          </w:p>
        </w:tc>
        <w:tc>
          <w:tcPr>
            <w:tcW w:w="2196" w:type="dxa"/>
          </w:tcPr>
          <w:p w14:paraId="26B521C1"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S&amp;P 500 B&amp;H</w:t>
            </w:r>
          </w:p>
        </w:tc>
        <w:tc>
          <w:tcPr>
            <w:tcW w:w="2196" w:type="dxa"/>
          </w:tcPr>
          <w:p w14:paraId="0DDCB146"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Synthetic 3x (no cost)</w:t>
            </w:r>
          </w:p>
        </w:tc>
        <w:tc>
          <w:tcPr>
            <w:tcW w:w="2196" w:type="dxa"/>
          </w:tcPr>
          <w:p w14:paraId="66897AD5"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Synthetic 3x (6% margin)</w:t>
            </w:r>
          </w:p>
        </w:tc>
      </w:tr>
      <w:tr w:rsidR="00D504B6" w14:paraId="78C20D91"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288DBA84" w14:textId="77777777" w:rsidR="00D504B6" w:rsidRDefault="00000000">
            <w:r>
              <w:rPr>
                <w:sz w:val="18"/>
              </w:rPr>
              <w:t>Full History (1950-2026)</w:t>
            </w:r>
          </w:p>
        </w:tc>
        <w:tc>
          <w:tcPr>
            <w:tcW w:w="2196" w:type="dxa"/>
          </w:tcPr>
          <w:p w14:paraId="603918D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$41.3M / +8.2%</w:t>
            </w:r>
          </w:p>
        </w:tc>
        <w:tc>
          <w:tcPr>
            <w:tcW w:w="2196" w:type="dxa"/>
          </w:tcPr>
          <w:p w14:paraId="0979F2F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$20.0B / +17.4%</w:t>
            </w:r>
          </w:p>
        </w:tc>
        <w:tc>
          <w:tcPr>
            <w:tcW w:w="2196" w:type="dxa"/>
          </w:tcPr>
          <w:p w14:paraId="266B2DA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$2.2M / +4.1%</w:t>
            </w:r>
          </w:p>
        </w:tc>
      </w:tr>
      <w:tr w:rsidR="00D504B6" w14:paraId="0CF3C815"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478F6797" w14:textId="77777777" w:rsidR="00D504B6" w:rsidRDefault="00000000">
            <w:r>
              <w:rPr>
                <w:sz w:val="18"/>
              </w:rPr>
              <w:t>Lost Decade (2000-2009)</w:t>
            </w:r>
          </w:p>
        </w:tc>
        <w:tc>
          <w:tcPr>
            <w:tcW w:w="2196" w:type="dxa"/>
          </w:tcPr>
          <w:p w14:paraId="6385E5B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$77K / -2.6%</w:t>
            </w:r>
          </w:p>
        </w:tc>
        <w:tc>
          <w:tcPr>
            <w:tcW w:w="2196" w:type="dxa"/>
          </w:tcPr>
          <w:p w14:paraId="22C9AF5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$10K / -20.5%</w:t>
            </w:r>
          </w:p>
        </w:tc>
        <w:tc>
          <w:tcPr>
            <w:tcW w:w="2196" w:type="dxa"/>
          </w:tcPr>
          <w:p w14:paraId="2E584FA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$3K / -29.5%</w:t>
            </w:r>
          </w:p>
        </w:tc>
      </w:tr>
      <w:tr w:rsidR="00D504B6" w14:paraId="447D3D27"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7F4F7304" w14:textId="77777777" w:rsidR="00D504B6" w:rsidRDefault="00000000">
            <w:r>
              <w:rPr>
                <w:sz w:val="18"/>
              </w:rPr>
              <w:t>GFC Peak-to-Trough</w:t>
            </w:r>
          </w:p>
        </w:tc>
        <w:tc>
          <w:tcPr>
            <w:tcW w:w="2196" w:type="dxa"/>
          </w:tcPr>
          <w:p w14:paraId="25FC52C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$43K / -44.8%</w:t>
            </w:r>
          </w:p>
        </w:tc>
        <w:tc>
          <w:tcPr>
            <w:tcW w:w="2196" w:type="dxa"/>
          </w:tcPr>
          <w:p w14:paraId="5C0116C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$4.3K / -89.2%</w:t>
            </w:r>
          </w:p>
        </w:tc>
        <w:tc>
          <w:tcPr>
            <w:tcW w:w="2196" w:type="dxa"/>
          </w:tcPr>
          <w:p w14:paraId="30D3B2C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$3.6K / -90.5%</w:t>
            </w:r>
          </w:p>
        </w:tc>
      </w:tr>
    </w:tbl>
    <w:p w14:paraId="139FCD00" w14:textId="77777777" w:rsidR="00D504B6" w:rsidRDefault="00D504B6"/>
    <w:p w14:paraId="74882594" w14:textId="77777777" w:rsidR="00D504B6" w:rsidRDefault="00000000">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(2000-2009), daily-rebalanced 3x with costs destroyed 97% of your capital. Volatility decay in a choppy, declining market is a meat grinder for leveraged strategies.</w:t>
      </w:r>
    </w:p>
    <w:p w14:paraId="2616A1E4" w14:textId="77777777" w:rsidR="00D504B6" w:rsidRDefault="00000000">
      <w:pPr>
        <w:pStyle w:val="Heading2"/>
      </w:pPr>
      <w:r>
        <w:lastRenderedPageBreak/>
        <w:t>What This Means</w:t>
      </w:r>
    </w:p>
    <w:p w14:paraId="4D4D7CDF" w14:textId="77777777" w:rsidR="00D504B6" w:rsidRDefault="00000000">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14:paraId="30BC5712" w14:textId="77777777" w:rsidR="00D504B6" w:rsidRDefault="00000000">
      <w:r>
        <w:t>Static margin leverage avoids volatility decay but introduces a far worse risk: forced liquidation at the bottom. In five of six historical periods tested, a static 3x margin account was liquidated before it could recover.</w:t>
      </w:r>
    </w:p>
    <w:p w14:paraId="44652222" w14:textId="77777777" w:rsidR="00D504B6" w:rsidRDefault="00000000">
      <w:r>
        <w:t>The bottom line: if you want 3x exposure to the S&amp;P 500, UPRO is the most practical vehicle for retail investors. The question then becomes how to manage the drawdown risk -- which is what the timing strategies below attempt to solve.</w:t>
      </w:r>
    </w:p>
    <w:p w14:paraId="76DB4EF6" w14:textId="77777777" w:rsidR="00D504B6" w:rsidRDefault="00000000">
      <w:pPr>
        <w:pStyle w:val="Heading1"/>
      </w:pPr>
      <w:r>
        <w:t>Results: Strategy by Strategy</w:t>
      </w:r>
    </w:p>
    <w:p w14:paraId="567120B0" w14:textId="77777777" w:rsidR="00D504B6" w:rsidRDefault="00000000">
      <w:pPr>
        <w:pStyle w:val="Heading2"/>
      </w:pPr>
      <w:r>
        <w:t>VIX-Based Regime Filter</w:t>
      </w:r>
    </w:p>
    <w:p w14:paraId="4CFFDA60" w14:textId="77777777" w:rsidR="00D504B6" w:rsidRDefault="00000000">
      <w:r>
        <w:t>The simplest idea: when the market is scared, step aside. During the test period (June 2009 to March 2026), VIX ranged from 9 to 83, with a median of 17 and a mean of 19. The 25th percentile was 14, the 75th percentile was 22, and VIX spent 86% of trading days below 25.</w:t>
      </w:r>
    </w:p>
    <w:p w14:paraId="0E6977EF" w14:textId="77777777" w:rsidR="00D504B6" w:rsidRDefault="00000000">
      <w:r>
        <w:t>The problem is that VIX is reactive, not predictive. By the time VIX spikes above 25 (which happens only 14% of trading days), you've already taken the first leg of the drawdown. And VIX often stays elevated during the early stages of recovery, causing you to miss the bounce.</w:t>
      </w:r>
    </w:p>
    <w:p w14:paraId="7F2AC43E" w14:textId="77777777" w:rsidR="00D504B6" w:rsidRDefault="00000000">
      <w:r>
        <w:t>The best VIX variant (VIX &lt; 30) produced a $4.0M end value with a 0.71 Sharpe and -68.9% max drawdown. You sacrifice more than half the terminal wealth for a max drawdown that's only 8 percentage points better. The threshold barely filters anything -- VIX is below 30 about 94% of the time -- so you get almost all of the downside with less upside.</w:t>
      </w:r>
    </w:p>
    <w:p w14:paraId="26B7761C" w14:textId="77777777" w:rsidR="00D504B6" w:rsidRDefault="00000000">
      <w:r>
        <w:t xml:space="preserve">Tighter thresholds (VIX &lt; 20, VIX &lt; 15) aggressively reduce the time invested but destroy returns. You end up in cash during too many good days. </w:t>
      </w:r>
      <w:r>
        <w:rPr>
          <w:b/>
        </w:rPr>
        <w:t>Verdict: blunt instrument. Not recommended.</w:t>
      </w:r>
    </w:p>
    <w:p w14:paraId="673AE61D" w14:textId="77777777" w:rsidR="00D504B6" w:rsidRDefault="00000000">
      <w:pPr>
        <w:pStyle w:val="Heading2"/>
      </w:pPr>
      <w:r>
        <w:t>Dual Momentum</w:t>
      </w:r>
    </w:p>
    <w:p w14:paraId="599ACD7C" w14:textId="77777777" w:rsidR="00D504B6" w:rsidRDefault="00000000">
      <w:r>
        <w:t>Antonacci-style momentum uses a 12-month lookback for both absolute return (is SPY going up?) and relative return (is SPY beating bonds?).</w:t>
      </w:r>
    </w:p>
    <w:p w14:paraId="22C9FDEB" w14:textId="77777777" w:rsidR="00D504B6" w:rsidRDefault="00000000">
      <w:r>
        <w:t>End value: $570K. CAGR: +11.0%. Sharpe: 0.45. Max drawdown: -56.6%. Only invested 63% of the time, with 76 trade signals.</w:t>
      </w:r>
    </w:p>
    <w:p w14:paraId="3A1EDB1E" w14:textId="77777777" w:rsidR="00D504B6" w:rsidRDefault="00000000">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t>
      </w:r>
      <w:r>
        <w:lastRenderedPageBreak/>
        <w:t xml:space="preserve">wealth drops by over 94%. And 76 trade signals over 16+ years creates tax drag in a taxable account. </w:t>
      </w:r>
      <w:r>
        <w:rPr>
          <w:b/>
        </w:rPr>
        <w:t>Verdict: too much return sacrificed for the drawdown improvement.</w:t>
      </w:r>
    </w:p>
    <w:p w14:paraId="4CC8D0F5" w14:textId="77777777" w:rsidR="00D504B6" w:rsidRDefault="00000000">
      <w:pPr>
        <w:pStyle w:val="Heading2"/>
      </w:pPr>
      <w:r>
        <w:t>HFEA 55/45 (UPRO + TMF)</w:t>
      </w:r>
    </w:p>
    <w:p w14:paraId="4F0536A5" w14:textId="77777777" w:rsidR="00D504B6" w:rsidRDefault="00000000">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14:paraId="160E4A82" w14:textId="77777777" w:rsidR="00D504B6" w:rsidRDefault="00000000">
      <w:r>
        <w:t>End value: $3.2M. CAGR: +23.1%. Sharpe: 0.82. Sortino: 1.07. Max drawdown: -70.5%. The 67 "trades" are quarterly rebalancing events (adjusting the 55/45 allocation every ~63 trading days), not round-trip trades.</w:t>
      </w:r>
    </w:p>
    <w:p w14:paraId="3D4D2CA7" w14:textId="77777777" w:rsidR="00D504B6" w:rsidRDefault="00000000">
      <w:r>
        <w:t>HFEA has the best Sortino ratio among the five base strategies (1.07) -- meaning it handles downside volatility particularly well relative to its upside. (The DD25%/Cool40+TLT variant introduced later edges it at 1.12.) But the max drawdown is still -70%, which is barely better than pure UPRO.</w:t>
      </w:r>
    </w:p>
    <w:p w14:paraId="54B6CAD3" w14:textId="77777777" w:rsidR="00D504B6" w:rsidRDefault="00000000">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14:paraId="038FD76C" w14:textId="77777777" w:rsidR="00D504B6" w:rsidRDefault="00000000">
      <w:pPr>
        <w:pStyle w:val="Heading2"/>
      </w:pPr>
      <w:r>
        <w:t>Drawdown-Triggered Exit -- The Best Risk-Adjusted Performer</w:t>
      </w:r>
    </w:p>
    <w:p w14:paraId="40480ABF" w14:textId="77777777" w:rsidR="00D504B6" w:rsidRDefault="00000000">
      <w:r>
        <w:t>This is the simplest concept and it produced the strongest risk-adjusted results in this backtest. The rule: when UPRO falls X% from its all-time high, sell everything and move to cash (earning T-bill rates). Wait at least Y trading days (the "cooling period") before re-entering. Re-enter when UPRO makes a new all-time high or the cooling period expires.</w:t>
      </w:r>
    </w:p>
    <w:p w14:paraId="26D12A4A" w14:textId="77777777" w:rsidR="00D504B6" w:rsidRDefault="00000000">
      <w:r>
        <w:t>I tested 12 variants (four thresholds x three cooling periods):</w:t>
      </w:r>
    </w:p>
    <w:tbl>
      <w:tblPr>
        <w:tblStyle w:val="LightGrid-Accent1"/>
        <w:tblW w:w="0" w:type="auto"/>
        <w:jc w:val="center"/>
        <w:tblLook w:val="04A0" w:firstRow="1" w:lastRow="0" w:firstColumn="1" w:lastColumn="0" w:noHBand="0" w:noVBand="1"/>
      </w:tblPr>
      <w:tblGrid>
        <w:gridCol w:w="1350"/>
        <w:gridCol w:w="1255"/>
        <w:gridCol w:w="1255"/>
        <w:gridCol w:w="1255"/>
        <w:gridCol w:w="1255"/>
        <w:gridCol w:w="1255"/>
        <w:gridCol w:w="1255"/>
      </w:tblGrid>
      <w:tr w:rsidR="00D504B6" w14:paraId="64A60101"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415017BF" w14:textId="77777777" w:rsidR="00D504B6" w:rsidRDefault="00000000">
            <w:pPr>
              <w:jc w:val="center"/>
            </w:pPr>
            <w:r>
              <w:rPr>
                <w:sz w:val="18"/>
              </w:rPr>
              <w:t>Variant</w:t>
            </w:r>
          </w:p>
        </w:tc>
        <w:tc>
          <w:tcPr>
            <w:tcW w:w="1255" w:type="dxa"/>
          </w:tcPr>
          <w:p w14:paraId="38ABE370"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End Value</w:t>
            </w:r>
          </w:p>
        </w:tc>
        <w:tc>
          <w:tcPr>
            <w:tcW w:w="1255" w:type="dxa"/>
          </w:tcPr>
          <w:p w14:paraId="35410C7D"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CAGR</w:t>
            </w:r>
          </w:p>
        </w:tc>
        <w:tc>
          <w:tcPr>
            <w:tcW w:w="1255" w:type="dxa"/>
          </w:tcPr>
          <w:p w14:paraId="1B88F838"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Sharpe</w:t>
            </w:r>
          </w:p>
        </w:tc>
        <w:tc>
          <w:tcPr>
            <w:tcW w:w="1255" w:type="dxa"/>
          </w:tcPr>
          <w:p w14:paraId="70A749E4"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Max DD</w:t>
            </w:r>
          </w:p>
        </w:tc>
        <w:tc>
          <w:tcPr>
            <w:tcW w:w="1255" w:type="dxa"/>
          </w:tcPr>
          <w:p w14:paraId="5CCAAFF4"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Trades</w:t>
            </w:r>
          </w:p>
        </w:tc>
        <w:tc>
          <w:tcPr>
            <w:tcW w:w="1255" w:type="dxa"/>
          </w:tcPr>
          <w:p w14:paraId="66CD14DB"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 Invested</w:t>
            </w:r>
          </w:p>
        </w:tc>
      </w:tr>
      <w:tr w:rsidR="00D504B6" w14:paraId="2E215624"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4F816F56" w14:textId="77777777" w:rsidR="00D504B6" w:rsidRDefault="00000000">
            <w:r>
              <w:rPr>
                <w:sz w:val="18"/>
              </w:rPr>
              <w:t>DD10%/Cool20</w:t>
            </w:r>
          </w:p>
        </w:tc>
        <w:tc>
          <w:tcPr>
            <w:tcW w:w="1255" w:type="dxa"/>
          </w:tcPr>
          <w:p w14:paraId="3399064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$649K</w:t>
            </w:r>
          </w:p>
        </w:tc>
        <w:tc>
          <w:tcPr>
            <w:tcW w:w="1255" w:type="dxa"/>
          </w:tcPr>
          <w:p w14:paraId="1092383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+11.9%</w:t>
            </w:r>
          </w:p>
        </w:tc>
        <w:tc>
          <w:tcPr>
            <w:tcW w:w="1255" w:type="dxa"/>
          </w:tcPr>
          <w:p w14:paraId="54847EA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0.46</w:t>
            </w:r>
          </w:p>
        </w:tc>
        <w:tc>
          <w:tcPr>
            <w:tcW w:w="1255" w:type="dxa"/>
          </w:tcPr>
          <w:p w14:paraId="79FCE97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-55.9%</w:t>
            </w:r>
          </w:p>
        </w:tc>
        <w:tc>
          <w:tcPr>
            <w:tcW w:w="1255" w:type="dxa"/>
          </w:tcPr>
          <w:p w14:paraId="7694AD8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156</w:t>
            </w:r>
          </w:p>
        </w:tc>
        <w:tc>
          <w:tcPr>
            <w:tcW w:w="1255" w:type="dxa"/>
          </w:tcPr>
          <w:p w14:paraId="40D107B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71%</w:t>
            </w:r>
          </w:p>
        </w:tc>
      </w:tr>
      <w:tr w:rsidR="00D504B6" w14:paraId="38DADD5D"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4FF25D12" w14:textId="77777777" w:rsidR="00D504B6" w:rsidRDefault="00000000">
            <w:r>
              <w:rPr>
                <w:sz w:val="18"/>
              </w:rPr>
              <w:t>DD10%/Cool40</w:t>
            </w:r>
          </w:p>
        </w:tc>
        <w:tc>
          <w:tcPr>
            <w:tcW w:w="1255" w:type="dxa"/>
          </w:tcPr>
          <w:p w14:paraId="1FE96C0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$1.9M</w:t>
            </w:r>
          </w:p>
        </w:tc>
        <w:tc>
          <w:tcPr>
            <w:tcW w:w="1255" w:type="dxa"/>
          </w:tcPr>
          <w:p w14:paraId="58E154D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+19.3%</w:t>
            </w:r>
          </w:p>
        </w:tc>
        <w:tc>
          <w:tcPr>
            <w:tcW w:w="1255" w:type="dxa"/>
          </w:tcPr>
          <w:p w14:paraId="57811E0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0.70</w:t>
            </w:r>
          </w:p>
        </w:tc>
        <w:tc>
          <w:tcPr>
            <w:tcW w:w="1255" w:type="dxa"/>
          </w:tcPr>
          <w:p w14:paraId="0F694BB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-52.4%</w:t>
            </w:r>
          </w:p>
        </w:tc>
        <w:tc>
          <w:tcPr>
            <w:tcW w:w="1255" w:type="dxa"/>
          </w:tcPr>
          <w:p w14:paraId="558B1B5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120</w:t>
            </w:r>
          </w:p>
        </w:tc>
        <w:tc>
          <w:tcPr>
            <w:tcW w:w="1255" w:type="dxa"/>
          </w:tcPr>
          <w:p w14:paraId="54A4298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63%</w:t>
            </w:r>
          </w:p>
        </w:tc>
      </w:tr>
      <w:tr w:rsidR="00D504B6" w14:paraId="453EDDC4"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3F6B1C24" w14:textId="77777777" w:rsidR="00D504B6" w:rsidRDefault="00000000">
            <w:r>
              <w:rPr>
                <w:sz w:val="18"/>
              </w:rPr>
              <w:t>DD10%/Cool60</w:t>
            </w:r>
          </w:p>
        </w:tc>
        <w:tc>
          <w:tcPr>
            <w:tcW w:w="1255" w:type="dxa"/>
          </w:tcPr>
          <w:p w14:paraId="0B23656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$1.5M</w:t>
            </w:r>
          </w:p>
        </w:tc>
        <w:tc>
          <w:tcPr>
            <w:tcW w:w="1255" w:type="dxa"/>
          </w:tcPr>
          <w:p w14:paraId="67F4D49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+17.4%</w:t>
            </w:r>
          </w:p>
        </w:tc>
        <w:tc>
          <w:tcPr>
            <w:tcW w:w="1255" w:type="dxa"/>
          </w:tcPr>
          <w:p w14:paraId="368D627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0.68</w:t>
            </w:r>
          </w:p>
        </w:tc>
        <w:tc>
          <w:tcPr>
            <w:tcW w:w="1255" w:type="dxa"/>
          </w:tcPr>
          <w:p w14:paraId="6907BB2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-45.1%</w:t>
            </w:r>
          </w:p>
        </w:tc>
        <w:tc>
          <w:tcPr>
            <w:tcW w:w="1255" w:type="dxa"/>
          </w:tcPr>
          <w:p w14:paraId="68A4E43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104</w:t>
            </w:r>
          </w:p>
        </w:tc>
        <w:tc>
          <w:tcPr>
            <w:tcW w:w="1255" w:type="dxa"/>
          </w:tcPr>
          <w:p w14:paraId="18D52D7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58%</w:t>
            </w:r>
          </w:p>
        </w:tc>
      </w:tr>
      <w:tr w:rsidR="00D504B6" w14:paraId="380F1F27"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17CE7B60" w14:textId="77777777" w:rsidR="00D504B6" w:rsidRDefault="00000000">
            <w:r>
              <w:rPr>
                <w:sz w:val="18"/>
              </w:rPr>
              <w:t>DD15%/Cool20</w:t>
            </w:r>
          </w:p>
        </w:tc>
        <w:tc>
          <w:tcPr>
            <w:tcW w:w="1255" w:type="dxa"/>
          </w:tcPr>
          <w:p w14:paraId="675FDD2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$1.4M</w:t>
            </w:r>
          </w:p>
        </w:tc>
        <w:tc>
          <w:tcPr>
            <w:tcW w:w="1255" w:type="dxa"/>
          </w:tcPr>
          <w:p w14:paraId="63B4F63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+17.1%</w:t>
            </w:r>
          </w:p>
        </w:tc>
        <w:tc>
          <w:tcPr>
            <w:tcW w:w="1255" w:type="dxa"/>
          </w:tcPr>
          <w:p w14:paraId="30577BC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0.57</w:t>
            </w:r>
          </w:p>
        </w:tc>
        <w:tc>
          <w:tcPr>
            <w:tcW w:w="1255" w:type="dxa"/>
          </w:tcPr>
          <w:p w14:paraId="273406D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-50.1%</w:t>
            </w:r>
          </w:p>
        </w:tc>
        <w:tc>
          <w:tcPr>
            <w:tcW w:w="1255" w:type="dxa"/>
          </w:tcPr>
          <w:p w14:paraId="11F72A8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91</w:t>
            </w:r>
          </w:p>
        </w:tc>
        <w:tc>
          <w:tcPr>
            <w:tcW w:w="1255" w:type="dxa"/>
          </w:tcPr>
          <w:p w14:paraId="5226DD9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81%</w:t>
            </w:r>
          </w:p>
        </w:tc>
      </w:tr>
      <w:tr w:rsidR="00D504B6" w14:paraId="1714AB36"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372AF156" w14:textId="77777777" w:rsidR="00D504B6" w:rsidRDefault="00000000">
            <w:r>
              <w:rPr>
                <w:sz w:val="18"/>
              </w:rPr>
              <w:t>DD15%/Cool40</w:t>
            </w:r>
          </w:p>
        </w:tc>
        <w:tc>
          <w:tcPr>
            <w:tcW w:w="1255" w:type="dxa"/>
          </w:tcPr>
          <w:p w14:paraId="057945B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$1.8M</w:t>
            </w:r>
          </w:p>
        </w:tc>
        <w:tc>
          <w:tcPr>
            <w:tcW w:w="1255" w:type="dxa"/>
          </w:tcPr>
          <w:p w14:paraId="187520C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+19.1%</w:t>
            </w:r>
          </w:p>
        </w:tc>
        <w:tc>
          <w:tcPr>
            <w:tcW w:w="1255" w:type="dxa"/>
          </w:tcPr>
          <w:p w14:paraId="60783AB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0.64</w:t>
            </w:r>
          </w:p>
        </w:tc>
        <w:tc>
          <w:tcPr>
            <w:tcW w:w="1255" w:type="dxa"/>
          </w:tcPr>
          <w:p w14:paraId="7F70EA3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-47.9%</w:t>
            </w:r>
          </w:p>
        </w:tc>
        <w:tc>
          <w:tcPr>
            <w:tcW w:w="1255" w:type="dxa"/>
          </w:tcPr>
          <w:p w14:paraId="29D7717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73</w:t>
            </w:r>
          </w:p>
        </w:tc>
        <w:tc>
          <w:tcPr>
            <w:tcW w:w="1255" w:type="dxa"/>
          </w:tcPr>
          <w:p w14:paraId="4927CDF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74%</w:t>
            </w:r>
          </w:p>
        </w:tc>
      </w:tr>
      <w:tr w:rsidR="00D504B6" w14:paraId="0D96A18C"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0EF8F87C" w14:textId="77777777" w:rsidR="00D504B6" w:rsidRDefault="00000000">
            <w:r>
              <w:rPr>
                <w:sz w:val="18"/>
              </w:rPr>
              <w:t>DD15%/Cool60</w:t>
            </w:r>
          </w:p>
        </w:tc>
        <w:tc>
          <w:tcPr>
            <w:tcW w:w="1255" w:type="dxa"/>
          </w:tcPr>
          <w:p w14:paraId="0061539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$414K</w:t>
            </w:r>
          </w:p>
        </w:tc>
        <w:tc>
          <w:tcPr>
            <w:tcW w:w="1255" w:type="dxa"/>
          </w:tcPr>
          <w:p w14:paraId="30CF7CB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+8.9%</w:t>
            </w:r>
          </w:p>
        </w:tc>
        <w:tc>
          <w:tcPr>
            <w:tcW w:w="1255" w:type="dxa"/>
          </w:tcPr>
          <w:p w14:paraId="22F0B50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0.39</w:t>
            </w:r>
          </w:p>
        </w:tc>
        <w:tc>
          <w:tcPr>
            <w:tcW w:w="1255" w:type="dxa"/>
          </w:tcPr>
          <w:p w14:paraId="075CA98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-49.3%</w:t>
            </w:r>
          </w:p>
        </w:tc>
        <w:tc>
          <w:tcPr>
            <w:tcW w:w="1255" w:type="dxa"/>
          </w:tcPr>
          <w:p w14:paraId="08E0626F"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71</w:t>
            </w:r>
          </w:p>
        </w:tc>
        <w:tc>
          <w:tcPr>
            <w:tcW w:w="1255" w:type="dxa"/>
          </w:tcPr>
          <w:p w14:paraId="232CED4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67%</w:t>
            </w:r>
          </w:p>
        </w:tc>
      </w:tr>
      <w:tr w:rsidR="00D504B6" w14:paraId="196FD2FB"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66C01D8C" w14:textId="77777777" w:rsidR="00D504B6" w:rsidRDefault="00000000">
            <w:r>
              <w:rPr>
                <w:sz w:val="18"/>
              </w:rPr>
              <w:t>DD20%/Cool20</w:t>
            </w:r>
          </w:p>
        </w:tc>
        <w:tc>
          <w:tcPr>
            <w:tcW w:w="1255" w:type="dxa"/>
          </w:tcPr>
          <w:p w14:paraId="733A6BB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$9.3M</w:t>
            </w:r>
          </w:p>
        </w:tc>
        <w:tc>
          <w:tcPr>
            <w:tcW w:w="1255" w:type="dxa"/>
          </w:tcPr>
          <w:p w14:paraId="2342F58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+31.2%</w:t>
            </w:r>
          </w:p>
        </w:tc>
        <w:tc>
          <w:tcPr>
            <w:tcW w:w="1255" w:type="dxa"/>
          </w:tcPr>
          <w:p w14:paraId="5AD19F0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0.84</w:t>
            </w:r>
          </w:p>
        </w:tc>
        <w:tc>
          <w:tcPr>
            <w:tcW w:w="1255" w:type="dxa"/>
          </w:tcPr>
          <w:p w14:paraId="36CF5DE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-51.7%</w:t>
            </w:r>
          </w:p>
        </w:tc>
        <w:tc>
          <w:tcPr>
            <w:tcW w:w="1255" w:type="dxa"/>
          </w:tcPr>
          <w:p w14:paraId="4C518EB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255" w:type="dxa"/>
          </w:tcPr>
          <w:p w14:paraId="6FDD576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87%</w:t>
            </w:r>
          </w:p>
        </w:tc>
      </w:tr>
      <w:tr w:rsidR="00D504B6" w14:paraId="558596BD"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71FDADB0" w14:textId="77777777" w:rsidR="00D504B6" w:rsidRDefault="00000000">
            <w:r>
              <w:rPr>
                <w:sz w:val="18"/>
              </w:rPr>
              <w:t>DD20%/Cool40</w:t>
            </w:r>
          </w:p>
        </w:tc>
        <w:tc>
          <w:tcPr>
            <w:tcW w:w="1255" w:type="dxa"/>
          </w:tcPr>
          <w:p w14:paraId="2BFD3638"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$3.8M</w:t>
            </w:r>
          </w:p>
        </w:tc>
        <w:tc>
          <w:tcPr>
            <w:tcW w:w="1255" w:type="dxa"/>
          </w:tcPr>
          <w:p w14:paraId="2C15D0C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+24.3%</w:t>
            </w:r>
          </w:p>
        </w:tc>
        <w:tc>
          <w:tcPr>
            <w:tcW w:w="1255" w:type="dxa"/>
          </w:tcPr>
          <w:p w14:paraId="5BF7DC6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0.74</w:t>
            </w:r>
          </w:p>
        </w:tc>
        <w:tc>
          <w:tcPr>
            <w:tcW w:w="1255" w:type="dxa"/>
          </w:tcPr>
          <w:p w14:paraId="4ECF416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-48.3%</w:t>
            </w:r>
          </w:p>
        </w:tc>
        <w:tc>
          <w:tcPr>
            <w:tcW w:w="1255" w:type="dxa"/>
          </w:tcPr>
          <w:p w14:paraId="000CA1B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47</w:t>
            </w:r>
          </w:p>
        </w:tc>
        <w:tc>
          <w:tcPr>
            <w:tcW w:w="1255" w:type="dxa"/>
          </w:tcPr>
          <w:p w14:paraId="7FA419F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81%</w:t>
            </w:r>
          </w:p>
        </w:tc>
      </w:tr>
      <w:tr w:rsidR="00D504B6" w14:paraId="528C4298"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00F4AF26" w14:textId="77777777" w:rsidR="00D504B6" w:rsidRDefault="00000000">
            <w:r>
              <w:rPr>
                <w:sz w:val="18"/>
              </w:rPr>
              <w:t>DD20%/Cool60</w:t>
            </w:r>
          </w:p>
        </w:tc>
        <w:tc>
          <w:tcPr>
            <w:tcW w:w="1255" w:type="dxa"/>
          </w:tcPr>
          <w:p w14:paraId="45EFFA2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$863K</w:t>
            </w:r>
          </w:p>
        </w:tc>
        <w:tc>
          <w:tcPr>
            <w:tcW w:w="1255" w:type="dxa"/>
          </w:tcPr>
          <w:p w14:paraId="225C909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255" w:type="dxa"/>
          </w:tcPr>
          <w:p w14:paraId="5424082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0.52</w:t>
            </w:r>
          </w:p>
        </w:tc>
        <w:tc>
          <w:tcPr>
            <w:tcW w:w="1255" w:type="dxa"/>
          </w:tcPr>
          <w:p w14:paraId="0558F64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-65.9%</w:t>
            </w:r>
          </w:p>
        </w:tc>
        <w:tc>
          <w:tcPr>
            <w:tcW w:w="1255" w:type="dxa"/>
          </w:tcPr>
          <w:p w14:paraId="40ED4AF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47</w:t>
            </w:r>
          </w:p>
        </w:tc>
        <w:tc>
          <w:tcPr>
            <w:tcW w:w="1255" w:type="dxa"/>
          </w:tcPr>
          <w:p w14:paraId="6A62275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74%</w:t>
            </w:r>
          </w:p>
        </w:tc>
      </w:tr>
      <w:tr w:rsidR="00D504B6" w14:paraId="1482CD6A"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69E3A313" w14:textId="77777777" w:rsidR="00D504B6" w:rsidRDefault="00000000">
            <w:r>
              <w:rPr>
                <w:sz w:val="18"/>
              </w:rPr>
              <w:t>DD25%/Cool20</w:t>
            </w:r>
          </w:p>
        </w:tc>
        <w:tc>
          <w:tcPr>
            <w:tcW w:w="1255" w:type="dxa"/>
          </w:tcPr>
          <w:p w14:paraId="5CF3F248"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$9.4M</w:t>
            </w:r>
          </w:p>
        </w:tc>
        <w:tc>
          <w:tcPr>
            <w:tcW w:w="1255" w:type="dxa"/>
          </w:tcPr>
          <w:p w14:paraId="15A2A0F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+31.3%</w:t>
            </w:r>
          </w:p>
        </w:tc>
        <w:tc>
          <w:tcPr>
            <w:tcW w:w="1255" w:type="dxa"/>
          </w:tcPr>
          <w:p w14:paraId="1B05809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0.82</w:t>
            </w:r>
          </w:p>
        </w:tc>
        <w:tc>
          <w:tcPr>
            <w:tcW w:w="1255" w:type="dxa"/>
          </w:tcPr>
          <w:p w14:paraId="3D22F36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-61.9%</w:t>
            </w:r>
          </w:p>
        </w:tc>
        <w:tc>
          <w:tcPr>
            <w:tcW w:w="1255" w:type="dxa"/>
          </w:tcPr>
          <w:p w14:paraId="00E17CE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39</w:t>
            </w:r>
          </w:p>
        </w:tc>
        <w:tc>
          <w:tcPr>
            <w:tcW w:w="1255" w:type="dxa"/>
          </w:tcPr>
          <w:p w14:paraId="6580AD3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91%</w:t>
            </w:r>
          </w:p>
        </w:tc>
      </w:tr>
      <w:tr w:rsidR="00D504B6" w14:paraId="3E0C94D5"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790F08B0" w14:textId="77777777" w:rsidR="00D504B6" w:rsidRDefault="00000000">
            <w:r>
              <w:rPr>
                <w:sz w:val="18"/>
              </w:rPr>
              <w:lastRenderedPageBreak/>
              <w:t>DD25%/Cool40</w:t>
            </w:r>
          </w:p>
        </w:tc>
        <w:tc>
          <w:tcPr>
            <w:tcW w:w="1255" w:type="dxa"/>
          </w:tcPr>
          <w:p w14:paraId="50CD361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$8.4M</w:t>
            </w:r>
          </w:p>
        </w:tc>
        <w:tc>
          <w:tcPr>
            <w:tcW w:w="1255" w:type="dxa"/>
          </w:tcPr>
          <w:p w14:paraId="6BA09E1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+30.5%</w:t>
            </w:r>
          </w:p>
        </w:tc>
        <w:tc>
          <w:tcPr>
            <w:tcW w:w="1255" w:type="dxa"/>
          </w:tcPr>
          <w:p w14:paraId="0BDCD53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0.85</w:t>
            </w:r>
          </w:p>
        </w:tc>
        <w:tc>
          <w:tcPr>
            <w:tcW w:w="1255" w:type="dxa"/>
          </w:tcPr>
          <w:p w14:paraId="31ED175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-41.8%</w:t>
            </w:r>
          </w:p>
        </w:tc>
        <w:tc>
          <w:tcPr>
            <w:tcW w:w="1255" w:type="dxa"/>
          </w:tcPr>
          <w:p w14:paraId="6FA6504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31</w:t>
            </w:r>
          </w:p>
        </w:tc>
        <w:tc>
          <w:tcPr>
            <w:tcW w:w="1255" w:type="dxa"/>
          </w:tcPr>
          <w:p w14:paraId="5A63B46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86%</w:t>
            </w:r>
          </w:p>
        </w:tc>
      </w:tr>
      <w:tr w:rsidR="00D504B6" w14:paraId="59DBA8B6"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03B678D0" w14:textId="77777777" w:rsidR="00D504B6" w:rsidRDefault="00000000">
            <w:r>
              <w:rPr>
                <w:sz w:val="18"/>
              </w:rPr>
              <w:t>DD25%/Cool60</w:t>
            </w:r>
          </w:p>
        </w:tc>
        <w:tc>
          <w:tcPr>
            <w:tcW w:w="1255" w:type="dxa"/>
          </w:tcPr>
          <w:p w14:paraId="0A45775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$1.9M</w:t>
            </w:r>
          </w:p>
        </w:tc>
        <w:tc>
          <w:tcPr>
            <w:tcW w:w="1255" w:type="dxa"/>
          </w:tcPr>
          <w:p w14:paraId="26000BC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+19.4%</w:t>
            </w:r>
          </w:p>
        </w:tc>
        <w:tc>
          <w:tcPr>
            <w:tcW w:w="1255" w:type="dxa"/>
          </w:tcPr>
          <w:p w14:paraId="6AD10D4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0.64</w:t>
            </w:r>
          </w:p>
        </w:tc>
        <w:tc>
          <w:tcPr>
            <w:tcW w:w="1255" w:type="dxa"/>
          </w:tcPr>
          <w:p w14:paraId="70F79F9B"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-59.3%</w:t>
            </w:r>
          </w:p>
        </w:tc>
        <w:tc>
          <w:tcPr>
            <w:tcW w:w="1255" w:type="dxa"/>
          </w:tcPr>
          <w:p w14:paraId="66B2E15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w:t>
            </w:r>
          </w:p>
        </w:tc>
        <w:tc>
          <w:tcPr>
            <w:tcW w:w="1255" w:type="dxa"/>
          </w:tcPr>
          <w:p w14:paraId="777B8CF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80%</w:t>
            </w:r>
          </w:p>
        </w:tc>
      </w:tr>
    </w:tbl>
    <w:p w14:paraId="5AE424F5" w14:textId="77777777" w:rsidR="00D504B6" w:rsidRDefault="00D504B6"/>
    <w:p w14:paraId="7D6AB8D8" w14:textId="77777777" w:rsidR="00D504B6" w:rsidRDefault="00000000">
      <w:pPr>
        <w:jc w:val="center"/>
      </w:pPr>
      <w:r>
        <w:rPr>
          <w:noProof/>
        </w:rPr>
        <w:drawing>
          <wp:inline distT="0" distB="0" distL="0" distR="0" wp14:anchorId="4C0103BF" wp14:editId="5DF98223">
            <wp:extent cx="5486400" cy="27099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rawdowns.png"/>
                    <pic:cNvPicPr/>
                  </pic:nvPicPr>
                  <pic:blipFill>
                    <a:blip r:embed="rId7"/>
                    <a:stretch>
                      <a:fillRect/>
                    </a:stretch>
                  </pic:blipFill>
                  <pic:spPr>
                    <a:xfrm>
                      <a:off x="0" y="0"/>
                      <a:ext cx="5486400" cy="2709949"/>
                    </a:xfrm>
                    <a:prstGeom prst="rect">
                      <a:avLst/>
                    </a:prstGeom>
                  </pic:spPr>
                </pic:pic>
              </a:graphicData>
            </a:graphic>
          </wp:inline>
        </w:drawing>
      </w:r>
    </w:p>
    <w:p w14:paraId="0242419D" w14:textId="77777777" w:rsidR="00D504B6" w:rsidRDefault="00D504B6"/>
    <w:p w14:paraId="42DBE35A" w14:textId="77777777" w:rsidR="00D504B6" w:rsidRDefault="00000000">
      <w:r>
        <w:t>A note on the DD15%/Cool60 anomaly: its $414K end value is dramatically worse than nearby variants ($1.8M for DD15%/Cool40, $1.4M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14:paraId="08ADB9D6" w14:textId="77777777" w:rsidR="00D504B6" w:rsidRDefault="00000000">
      <w:r>
        <w:t xml:space="preserve">The standout is </w:t>
      </w:r>
      <w:r>
        <w:rPr>
          <w:b/>
        </w:rPr>
        <w:t>DD25%/Cool40</w:t>
      </w:r>
      <w:r>
        <w:t>: exit when UPRO drops 25% from its peak, wait at least 40 trading days (~2 months) before re-entering. But it's worth noting that DD25%/Cool40 is representative of a family of competitive parameters -- the heatmap below shows that DD20-25%/Cool20-40 all produce Sharpe ratios above 0.74. The specific "best" parameters would shift with a different test period. I use DD25%/Cool40 throughout as a concrete example, not as a claim that these exact numbers are uniquely optimal.</w:t>
      </w:r>
    </w:p>
    <w:p w14:paraId="0BBEEB76" w14:textId="77777777" w:rsidR="00D504B6" w:rsidRDefault="00000000">
      <w:r>
        <w:t>Why it works: the 25% threshold is wide enough to avoid whipsaws from normal UPRO volatility (this is a 3x fund -- 10-15% pullbacks happen routinely) but catches genuine bear markets. There's a deeper mechanism at work here. Because UPRO is 3x leveraged, its price amplifies not just returns but volatility itself. A 25% UPRO drawdown typically corresponds to a high-single-digit or low-double-digit decline in SPY -- roughly the range where ordinary corrections begin to evolve into true market-stress regimes marked by elevated volatility, forced deleveraging, and unstable price action. In that sense, the rule may function less as a traditional trend-following signal and more as a volatility-regime detector for a leveraged ETF. (I explore this further in the robustness section below.)</w:t>
      </w:r>
    </w:p>
    <w:p w14:paraId="365BC17E" w14:textId="77777777" w:rsidR="00D504B6" w:rsidRDefault="00000000">
      <w:r>
        <w:lastRenderedPageBreak/>
        <w:t>The 40-day cooling period forces patience. You don't buy the first dead-cat bounce. You wait for the storm to pass. This works partly because volatility clusters: after a large drawdown, the probability of continued violent price action remains elevated for weeks. The cooling period is a crude but effective way of staying out until that turbulence subsides.</w:t>
      </w:r>
    </w:p>
    <w:p w14:paraId="791ADE61" w14:textId="77777777" w:rsidR="00D504B6" w:rsidRDefault="00000000">
      <w:r>
        <w:t xml:space="preserve">The trade-off is explicit: you give up about $1.1 million in terminal wealth (12% of buy-and-hold's end value) in exchange for a maximum drawdown that's </w:t>
      </w:r>
      <w:r>
        <w:rPr>
          <w:b/>
        </w:rPr>
        <w:t>35 percentage points better</w:t>
      </w:r>
      <w:r>
        <w:t xml:space="preserve"> (-41.8% vs -76.8%). The Sharpe ratio improved from 0.77 to 0.85 over this test period. 31 trade signals (~15 round trips) over 16+ years. You're invested 86% of the time. (As we'll see shortly, a different cash vehicle during cooling periods can erase most of this wealth gap.)</w:t>
      </w:r>
    </w:p>
    <w:p w14:paraId="16D226C0" w14:textId="77777777" w:rsidR="00D504B6" w:rsidRDefault="00000000">
      <w:pPr>
        <w:pStyle w:val="Heading2"/>
      </w:pPr>
      <w:r>
        <w:t>Composite Signal</w:t>
      </w:r>
    </w:p>
    <w:p w14:paraId="172562CD" w14:textId="77777777" w:rsidR="00D504B6" w:rsidRDefault="00000000">
      <w:r>
        <w:t>This approach requires SPY to be above its 200-day SMA, VIX below 25, and SPY's 3-month return to be positive. The 2-of-3 variant holds UPRO when at least two conditions are met; 3-of-3 requires all three.</w:t>
      </w:r>
    </w:p>
    <w:p w14:paraId="104C1E27" w14:textId="77777777" w:rsidR="00D504B6" w:rsidRDefault="00000000">
      <w:r>
        <w:t>Composite 2-of-3: $1.1M end value, +15.5% CAGR, 0.55 Sharpe, -61.1% max DD. Composite 3-of-3: $836K, +13.6% CAGR, 0.55 Sharpe, -50.1% max DD.</w:t>
      </w:r>
    </w:p>
    <w:p w14:paraId="532D832D" w14:textId="77777777" w:rsidR="00D504B6" w:rsidRDefault="00000000">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14:paraId="140E3A5B" w14:textId="77777777" w:rsidR="00D504B6" w:rsidRDefault="00000000">
      <w:pPr>
        <w:pStyle w:val="Heading1"/>
      </w:pPr>
      <w:r>
        <w:t>Head-to-Head: Best of Each Strategy</w:t>
      </w:r>
    </w:p>
    <w:tbl>
      <w:tblPr>
        <w:tblStyle w:val="LightGrid-Accent1"/>
        <w:tblW w:w="0" w:type="auto"/>
        <w:jc w:val="center"/>
        <w:tblLook w:val="04A0" w:firstRow="1" w:lastRow="0" w:firstColumn="1" w:lastColumn="0" w:noHBand="0" w:noVBand="1"/>
      </w:tblPr>
      <w:tblGrid>
        <w:gridCol w:w="1350"/>
        <w:gridCol w:w="1255"/>
        <w:gridCol w:w="1255"/>
        <w:gridCol w:w="1255"/>
        <w:gridCol w:w="1255"/>
        <w:gridCol w:w="1255"/>
        <w:gridCol w:w="1255"/>
      </w:tblGrid>
      <w:tr w:rsidR="00D504B6" w14:paraId="5EA96918"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00E162D8" w14:textId="77777777" w:rsidR="00D504B6" w:rsidRDefault="00000000">
            <w:pPr>
              <w:jc w:val="center"/>
            </w:pPr>
            <w:r>
              <w:rPr>
                <w:sz w:val="18"/>
              </w:rPr>
              <w:t>Strategy</w:t>
            </w:r>
          </w:p>
        </w:tc>
        <w:tc>
          <w:tcPr>
            <w:tcW w:w="1255" w:type="dxa"/>
          </w:tcPr>
          <w:p w14:paraId="6199AB45"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End Value</w:t>
            </w:r>
          </w:p>
        </w:tc>
        <w:tc>
          <w:tcPr>
            <w:tcW w:w="1255" w:type="dxa"/>
          </w:tcPr>
          <w:p w14:paraId="5F4C55C0"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CAGR</w:t>
            </w:r>
          </w:p>
        </w:tc>
        <w:tc>
          <w:tcPr>
            <w:tcW w:w="1255" w:type="dxa"/>
          </w:tcPr>
          <w:p w14:paraId="0E828A55"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Sharpe</w:t>
            </w:r>
          </w:p>
        </w:tc>
        <w:tc>
          <w:tcPr>
            <w:tcW w:w="1255" w:type="dxa"/>
          </w:tcPr>
          <w:p w14:paraId="4101A1B7"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Max DD</w:t>
            </w:r>
          </w:p>
        </w:tc>
        <w:tc>
          <w:tcPr>
            <w:tcW w:w="1255" w:type="dxa"/>
          </w:tcPr>
          <w:p w14:paraId="76A5C437"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Trades</w:t>
            </w:r>
          </w:p>
        </w:tc>
        <w:tc>
          <w:tcPr>
            <w:tcW w:w="1255" w:type="dxa"/>
          </w:tcPr>
          <w:p w14:paraId="506570E9"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 Invested</w:t>
            </w:r>
          </w:p>
        </w:tc>
      </w:tr>
      <w:tr w:rsidR="00D504B6" w14:paraId="00258558"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24319E61" w14:textId="77777777" w:rsidR="00D504B6" w:rsidRDefault="00000000">
            <w:r>
              <w:rPr>
                <w:sz w:val="18"/>
              </w:rPr>
              <w:t>UPRO B&amp;H</w:t>
            </w:r>
          </w:p>
        </w:tc>
        <w:tc>
          <w:tcPr>
            <w:tcW w:w="1255" w:type="dxa"/>
          </w:tcPr>
          <w:p w14:paraId="1E95AED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$9.5M</w:t>
            </w:r>
          </w:p>
        </w:tc>
        <w:tc>
          <w:tcPr>
            <w:tcW w:w="1255" w:type="dxa"/>
          </w:tcPr>
          <w:p w14:paraId="6F61C33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+31.4%</w:t>
            </w:r>
          </w:p>
        </w:tc>
        <w:tc>
          <w:tcPr>
            <w:tcW w:w="1255" w:type="dxa"/>
          </w:tcPr>
          <w:p w14:paraId="148A6BD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0.77</w:t>
            </w:r>
          </w:p>
        </w:tc>
        <w:tc>
          <w:tcPr>
            <w:tcW w:w="1255" w:type="dxa"/>
          </w:tcPr>
          <w:p w14:paraId="1D58221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-76.8%</w:t>
            </w:r>
          </w:p>
        </w:tc>
        <w:tc>
          <w:tcPr>
            <w:tcW w:w="1255" w:type="dxa"/>
          </w:tcPr>
          <w:p w14:paraId="5920F0B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1</w:t>
            </w:r>
          </w:p>
        </w:tc>
        <w:tc>
          <w:tcPr>
            <w:tcW w:w="1255" w:type="dxa"/>
          </w:tcPr>
          <w:p w14:paraId="5FC0BD2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100%</w:t>
            </w:r>
          </w:p>
        </w:tc>
      </w:tr>
      <w:tr w:rsidR="00D504B6" w14:paraId="6C047461"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3A794454" w14:textId="77777777" w:rsidR="00D504B6" w:rsidRDefault="00000000">
            <w:r>
              <w:rPr>
                <w:sz w:val="18"/>
              </w:rPr>
              <w:t>VIX &lt; 30</w:t>
            </w:r>
          </w:p>
        </w:tc>
        <w:tc>
          <w:tcPr>
            <w:tcW w:w="1255" w:type="dxa"/>
          </w:tcPr>
          <w:p w14:paraId="593F2FAB"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$4.0M</w:t>
            </w:r>
          </w:p>
        </w:tc>
        <w:tc>
          <w:tcPr>
            <w:tcW w:w="1255" w:type="dxa"/>
          </w:tcPr>
          <w:p w14:paraId="6814A39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+24.8%</w:t>
            </w:r>
          </w:p>
        </w:tc>
        <w:tc>
          <w:tcPr>
            <w:tcW w:w="1255" w:type="dxa"/>
          </w:tcPr>
          <w:p w14:paraId="7AD4A3FB"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0.71</w:t>
            </w:r>
          </w:p>
        </w:tc>
        <w:tc>
          <w:tcPr>
            <w:tcW w:w="1255" w:type="dxa"/>
          </w:tcPr>
          <w:p w14:paraId="4AA3C30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-68.9%</w:t>
            </w:r>
          </w:p>
        </w:tc>
        <w:tc>
          <w:tcPr>
            <w:tcW w:w="1255" w:type="dxa"/>
          </w:tcPr>
          <w:p w14:paraId="077CC9B8"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43</w:t>
            </w:r>
          </w:p>
        </w:tc>
        <w:tc>
          <w:tcPr>
            <w:tcW w:w="1255" w:type="dxa"/>
          </w:tcPr>
          <w:p w14:paraId="59534ED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94%</w:t>
            </w:r>
          </w:p>
        </w:tc>
      </w:tr>
      <w:tr w:rsidR="00D504B6" w14:paraId="44C59C57"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01F1AB1F" w14:textId="77777777" w:rsidR="00D504B6" w:rsidRDefault="00000000">
            <w:r>
              <w:rPr>
                <w:sz w:val="18"/>
              </w:rPr>
              <w:t>Dual Momentum</w:t>
            </w:r>
          </w:p>
        </w:tc>
        <w:tc>
          <w:tcPr>
            <w:tcW w:w="1255" w:type="dxa"/>
          </w:tcPr>
          <w:p w14:paraId="2F3E7DB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$570K</w:t>
            </w:r>
          </w:p>
        </w:tc>
        <w:tc>
          <w:tcPr>
            <w:tcW w:w="1255" w:type="dxa"/>
          </w:tcPr>
          <w:p w14:paraId="0B6A54F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+11.0%</w:t>
            </w:r>
          </w:p>
        </w:tc>
        <w:tc>
          <w:tcPr>
            <w:tcW w:w="1255" w:type="dxa"/>
          </w:tcPr>
          <w:p w14:paraId="094B478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0.45</w:t>
            </w:r>
          </w:p>
        </w:tc>
        <w:tc>
          <w:tcPr>
            <w:tcW w:w="1255" w:type="dxa"/>
          </w:tcPr>
          <w:p w14:paraId="2803C2D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-56.6%</w:t>
            </w:r>
          </w:p>
        </w:tc>
        <w:tc>
          <w:tcPr>
            <w:tcW w:w="1255" w:type="dxa"/>
          </w:tcPr>
          <w:p w14:paraId="335564F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76</w:t>
            </w:r>
          </w:p>
        </w:tc>
        <w:tc>
          <w:tcPr>
            <w:tcW w:w="1255" w:type="dxa"/>
          </w:tcPr>
          <w:p w14:paraId="6E0EB1B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63%</w:t>
            </w:r>
          </w:p>
        </w:tc>
      </w:tr>
      <w:tr w:rsidR="00D504B6" w14:paraId="5BCA273A"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6C0B9908" w14:textId="77777777" w:rsidR="00D504B6" w:rsidRDefault="00000000">
            <w:r>
              <w:rPr>
                <w:sz w:val="18"/>
              </w:rPr>
              <w:t>HFEA 55/45</w:t>
            </w:r>
          </w:p>
        </w:tc>
        <w:tc>
          <w:tcPr>
            <w:tcW w:w="1255" w:type="dxa"/>
          </w:tcPr>
          <w:p w14:paraId="13FAC98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$3.2M</w:t>
            </w:r>
          </w:p>
        </w:tc>
        <w:tc>
          <w:tcPr>
            <w:tcW w:w="1255" w:type="dxa"/>
          </w:tcPr>
          <w:p w14:paraId="1712498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+23.1%</w:t>
            </w:r>
          </w:p>
        </w:tc>
        <w:tc>
          <w:tcPr>
            <w:tcW w:w="1255" w:type="dxa"/>
          </w:tcPr>
          <w:p w14:paraId="339BF28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0.82</w:t>
            </w:r>
          </w:p>
        </w:tc>
        <w:tc>
          <w:tcPr>
            <w:tcW w:w="1255" w:type="dxa"/>
          </w:tcPr>
          <w:p w14:paraId="00B3CBC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-70.5%</w:t>
            </w:r>
          </w:p>
        </w:tc>
        <w:tc>
          <w:tcPr>
            <w:tcW w:w="1255" w:type="dxa"/>
          </w:tcPr>
          <w:p w14:paraId="0C9D8DF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67</w:t>
            </w:r>
          </w:p>
        </w:tc>
        <w:tc>
          <w:tcPr>
            <w:tcW w:w="1255" w:type="dxa"/>
          </w:tcPr>
          <w:p w14:paraId="135C6CE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100%</w:t>
            </w:r>
          </w:p>
        </w:tc>
      </w:tr>
      <w:tr w:rsidR="00D504B6" w14:paraId="7E64DD7E"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754FCDB2" w14:textId="77777777" w:rsidR="00D504B6" w:rsidRDefault="00000000">
            <w:r>
              <w:rPr>
                <w:sz w:val="18"/>
              </w:rPr>
              <w:t>DD25%/Cool40</w:t>
            </w:r>
          </w:p>
        </w:tc>
        <w:tc>
          <w:tcPr>
            <w:tcW w:w="1255" w:type="dxa"/>
          </w:tcPr>
          <w:p w14:paraId="1193244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$8.4M</w:t>
            </w:r>
          </w:p>
        </w:tc>
        <w:tc>
          <w:tcPr>
            <w:tcW w:w="1255" w:type="dxa"/>
          </w:tcPr>
          <w:p w14:paraId="54E42A2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+30.5%</w:t>
            </w:r>
          </w:p>
        </w:tc>
        <w:tc>
          <w:tcPr>
            <w:tcW w:w="1255" w:type="dxa"/>
          </w:tcPr>
          <w:p w14:paraId="50333E3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0.85</w:t>
            </w:r>
          </w:p>
        </w:tc>
        <w:tc>
          <w:tcPr>
            <w:tcW w:w="1255" w:type="dxa"/>
          </w:tcPr>
          <w:p w14:paraId="58E6A87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-41.8%</w:t>
            </w:r>
          </w:p>
        </w:tc>
        <w:tc>
          <w:tcPr>
            <w:tcW w:w="1255" w:type="dxa"/>
          </w:tcPr>
          <w:p w14:paraId="23D9809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31</w:t>
            </w:r>
          </w:p>
        </w:tc>
        <w:tc>
          <w:tcPr>
            <w:tcW w:w="1255" w:type="dxa"/>
          </w:tcPr>
          <w:p w14:paraId="6A273D3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86%</w:t>
            </w:r>
          </w:p>
        </w:tc>
      </w:tr>
      <w:tr w:rsidR="00D504B6" w14:paraId="295520B5"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7E921B89" w14:textId="77777777" w:rsidR="00D504B6" w:rsidRDefault="00000000">
            <w:r>
              <w:rPr>
                <w:sz w:val="18"/>
              </w:rPr>
              <w:t>Composite 2of3</w:t>
            </w:r>
          </w:p>
        </w:tc>
        <w:tc>
          <w:tcPr>
            <w:tcW w:w="1255" w:type="dxa"/>
          </w:tcPr>
          <w:p w14:paraId="4637653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$1.1M</w:t>
            </w:r>
          </w:p>
        </w:tc>
        <w:tc>
          <w:tcPr>
            <w:tcW w:w="1255" w:type="dxa"/>
          </w:tcPr>
          <w:p w14:paraId="563287A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+15.5%</w:t>
            </w:r>
          </w:p>
        </w:tc>
        <w:tc>
          <w:tcPr>
            <w:tcW w:w="1255" w:type="dxa"/>
          </w:tcPr>
          <w:p w14:paraId="6B8A227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0.55</w:t>
            </w:r>
          </w:p>
        </w:tc>
        <w:tc>
          <w:tcPr>
            <w:tcW w:w="1255" w:type="dxa"/>
          </w:tcPr>
          <w:p w14:paraId="2D5966E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-61.1%</w:t>
            </w:r>
          </w:p>
        </w:tc>
        <w:tc>
          <w:tcPr>
            <w:tcW w:w="1255" w:type="dxa"/>
          </w:tcPr>
          <w:p w14:paraId="59CCA75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48</w:t>
            </w:r>
          </w:p>
        </w:tc>
        <w:tc>
          <w:tcPr>
            <w:tcW w:w="1255" w:type="dxa"/>
          </w:tcPr>
          <w:p w14:paraId="1B3DB4F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81%</w:t>
            </w:r>
          </w:p>
        </w:tc>
      </w:tr>
    </w:tbl>
    <w:p w14:paraId="41D48E94" w14:textId="77777777" w:rsidR="00D504B6" w:rsidRDefault="00D504B6"/>
    <w:p w14:paraId="126EA0E8" w14:textId="77777777" w:rsidR="00D504B6" w:rsidRDefault="00000000">
      <w:pPr>
        <w:jc w:val="center"/>
      </w:pPr>
      <w:r>
        <w:rPr>
          <w:noProof/>
        </w:rPr>
        <w:lastRenderedPageBreak/>
        <w:drawing>
          <wp:inline distT="0" distB="0" distL="0" distR="0" wp14:anchorId="48026B0E" wp14:editId="1FD1D8F8">
            <wp:extent cx="5486400" cy="32674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quity_curves.png"/>
                    <pic:cNvPicPr/>
                  </pic:nvPicPr>
                  <pic:blipFill>
                    <a:blip r:embed="rId8"/>
                    <a:stretch>
                      <a:fillRect/>
                    </a:stretch>
                  </pic:blipFill>
                  <pic:spPr>
                    <a:xfrm>
                      <a:off x="0" y="0"/>
                      <a:ext cx="5486400" cy="3267431"/>
                    </a:xfrm>
                    <a:prstGeom prst="rect">
                      <a:avLst/>
                    </a:prstGeom>
                  </pic:spPr>
                </pic:pic>
              </a:graphicData>
            </a:graphic>
          </wp:inline>
        </w:drawing>
      </w:r>
    </w:p>
    <w:p w14:paraId="391F8F4A" w14:textId="77777777" w:rsidR="00D504B6" w:rsidRDefault="00D504B6"/>
    <w:p w14:paraId="0AC8EDC4" w14:textId="77777777" w:rsidR="00D504B6" w:rsidRDefault="00000000">
      <w:r>
        <w:t>The risk/return scatter tells the story. DD25%/Cool40 sits in the sweet spot: it preserved 88% of buy-and-hold's terminal value while cutting the maximum drawdown by 35 percentage points over this test period. It was the best risk-adjusted performer in the analysis -- though, as noted above, nearby parameter combinations produced similar results.</w:t>
      </w:r>
    </w:p>
    <w:p w14:paraId="5956308C" w14:textId="77777777" w:rsidR="00D504B6" w:rsidRDefault="00000000">
      <w:pPr>
        <w:jc w:val="center"/>
      </w:pPr>
      <w:r>
        <w:rPr>
          <w:noProof/>
        </w:rPr>
        <w:lastRenderedPageBreak/>
        <w:drawing>
          <wp:inline distT="0" distB="0" distL="0" distR="0" wp14:anchorId="507D769D" wp14:editId="783C3AAD">
            <wp:extent cx="5486400" cy="3829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isk_return.png"/>
                    <pic:cNvPicPr/>
                  </pic:nvPicPr>
                  <pic:blipFill>
                    <a:blip r:embed="rId9"/>
                    <a:stretch>
                      <a:fillRect/>
                    </a:stretch>
                  </pic:blipFill>
                  <pic:spPr>
                    <a:xfrm>
                      <a:off x="0" y="0"/>
                      <a:ext cx="5486400" cy="3829079"/>
                    </a:xfrm>
                    <a:prstGeom prst="rect">
                      <a:avLst/>
                    </a:prstGeom>
                  </pic:spPr>
                </pic:pic>
              </a:graphicData>
            </a:graphic>
          </wp:inline>
        </w:drawing>
      </w:r>
    </w:p>
    <w:p w14:paraId="5A915B7A" w14:textId="77777777" w:rsidR="00D504B6" w:rsidRDefault="00D504B6"/>
    <w:p w14:paraId="156F3163" w14:textId="77777777" w:rsidR="00D504B6" w:rsidRDefault="00000000">
      <w:r>
        <w:t>HFEA is a respectable second on Sharpe (0.82)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14:paraId="65C6632D" w14:textId="77777777" w:rsidR="00D504B6" w:rsidRDefault="00000000">
      <w:pPr>
        <w:pStyle w:val="Heading1"/>
      </w:pPr>
      <w:r>
        <w:t>Is This Overfitted? Robustness Testing</w:t>
      </w:r>
    </w:p>
    <w:p w14:paraId="06D7A8BE" w14:textId="77777777" w:rsidR="00D504B6" w:rsidRDefault="00000000">
      <w:r>
        <w:t>The DD25%/Cool40 result is impressive, but skepticism is warranted. These parameters were selected because they produced the best risk-adjusted results on 2009-2026 data -- a period dominated by a secular bull market with sharp but temporary drawdowns. The strategy's historical outperformance is real, but whether it will persist in future regimes (prolonged stagflation, a multi-year bear market, or a fundamentally different rate environment) is unknowable. Here's how I stress-tested the finding.</w:t>
      </w:r>
    </w:p>
    <w:p w14:paraId="1A712A03" w14:textId="77777777" w:rsidR="00D504B6" w:rsidRDefault="00000000">
      <w:pPr>
        <w:pStyle w:val="Heading2"/>
      </w:pPr>
      <w:r>
        <w:t>Parameter Sensitivity</w:t>
      </w:r>
    </w:p>
    <w:p w14:paraId="02657648" w14:textId="77777777" w:rsidR="00D504B6" w:rsidRDefault="00000000">
      <w:r>
        <w:t>If DD25%/Cool40 sits on a narrow peak -- where nearby parameters produce much worse results -- that's a red flag for overfitting. To check, I computed the Sharpe ratio for a 5x6 grid of drawdown thresholds (10%-30%) and cooling periods (10-60 days).</w:t>
      </w:r>
    </w:p>
    <w:p w14:paraId="09775CAF" w14:textId="77777777" w:rsidR="00D504B6" w:rsidRDefault="00000000">
      <w:r>
        <w:t xml:space="preserve">The result: DD25%/Cool40's 0.85 Sharpe sits at the peak of a broad green plateau. Adjacent cells DD20-25%/Cool20-40 all produce Sharpe ratios above 0.74. You can shift the threshold by 5 </w:t>
      </w:r>
      <w:r>
        <w:lastRenderedPageBreak/>
        <w:t>percentage points or the cooling period by 10 days in either direction and still get strong risk-adjusted performance. This is not a fragile optimum -- it's a broad plateau of strong performance within this test period.</w:t>
      </w:r>
    </w:p>
    <w:p w14:paraId="432B65B7" w14:textId="77777777" w:rsidR="00D504B6" w:rsidRDefault="00000000">
      <w:pPr>
        <w:jc w:val="center"/>
      </w:pPr>
      <w:r>
        <w:rPr>
          <w:noProof/>
        </w:rPr>
        <w:drawing>
          <wp:inline distT="0" distB="0" distL="0" distR="0" wp14:anchorId="39A3F04A" wp14:editId="61462105">
            <wp:extent cx="5486400" cy="4035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d_heatmap.png"/>
                    <pic:cNvPicPr/>
                  </pic:nvPicPr>
                  <pic:blipFill>
                    <a:blip r:embed="rId10"/>
                    <a:stretch>
                      <a:fillRect/>
                    </a:stretch>
                  </pic:blipFill>
                  <pic:spPr>
                    <a:xfrm>
                      <a:off x="0" y="0"/>
                      <a:ext cx="5486400" cy="4035500"/>
                    </a:xfrm>
                    <a:prstGeom prst="rect">
                      <a:avLst/>
                    </a:prstGeom>
                  </pic:spPr>
                </pic:pic>
              </a:graphicData>
            </a:graphic>
          </wp:inline>
        </w:drawing>
      </w:r>
    </w:p>
    <w:p w14:paraId="72E9FA87" w14:textId="77777777" w:rsidR="00D504B6" w:rsidRDefault="00D504B6"/>
    <w:p w14:paraId="153D14E4" w14:textId="77777777" w:rsidR="00D504B6" w:rsidRDefault="00000000">
      <w:pPr>
        <w:pStyle w:val="Heading2"/>
      </w:pPr>
      <w:r>
        <w:t>Walk-Forward Validation</w:t>
      </w:r>
    </w:p>
    <w:p w14:paraId="63572E71" w14:textId="77777777" w:rsidR="00D504B6" w:rsidRDefault="00000000">
      <w:r>
        <w:t>The strongest test of parameter stability: train on one period, test on another. I split the data at December 2016 (roughly the halfway point) and ran a grid search over all threshold/cooling combinations on the 2009-2016 training set.</w:t>
      </w:r>
    </w:p>
    <w:p w14:paraId="229D870F" w14:textId="77777777" w:rsidR="00D504B6" w:rsidRDefault="00000000">
      <w:r>
        <w:t xml:space="preserve">The in-sample winner was DD30%/Cool10 (Sharpe 1.01) -- notably </w:t>
      </w:r>
      <w:r>
        <w:rPr>
          <w:i/>
        </w:rPr>
        <w:t>not</w:t>
      </w:r>
      <w:r>
        <w:t xml:space="preserve"> DD25%/Cool40. But when applied to the 2017-2026 out-of-sample period, DD30%/Cool10 delivered a 29.5% CAGR, 0.74 Sharpe, and -64.7% max drawdown. The strategy still works out-of-sample, even though the exact best parameters shifted.</w:t>
      </w:r>
    </w:p>
    <w:p w14:paraId="10531468" w14:textId="77777777" w:rsidR="00D504B6" w:rsidRDefault="00000000">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w="0" w:type="auto"/>
        <w:jc w:val="center"/>
        <w:tblLook w:val="04A0" w:firstRow="1" w:lastRow="0" w:firstColumn="1" w:lastColumn="0" w:noHBand="0" w:noVBand="1"/>
      </w:tblPr>
      <w:tblGrid>
        <w:gridCol w:w="2928"/>
        <w:gridCol w:w="2928"/>
        <w:gridCol w:w="2928"/>
      </w:tblGrid>
      <w:tr w:rsidR="00D504B6" w14:paraId="08DC5AE3"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28" w:type="dxa"/>
          </w:tcPr>
          <w:p w14:paraId="5E4297F8" w14:textId="77777777" w:rsidR="00D504B6" w:rsidRDefault="00000000">
            <w:pPr>
              <w:jc w:val="center"/>
            </w:pPr>
            <w:r>
              <w:rPr>
                <w:sz w:val="18"/>
              </w:rPr>
              <w:t>Metric</w:t>
            </w:r>
          </w:p>
        </w:tc>
        <w:tc>
          <w:tcPr>
            <w:tcW w:w="2928" w:type="dxa"/>
          </w:tcPr>
          <w:p w14:paraId="3BCCFC28"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In-Sample (2009-2016)</w:t>
            </w:r>
          </w:p>
        </w:tc>
        <w:tc>
          <w:tcPr>
            <w:tcW w:w="2928" w:type="dxa"/>
          </w:tcPr>
          <w:p w14:paraId="41F2560F"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Out-of-Sample (2017-2026)</w:t>
            </w:r>
          </w:p>
        </w:tc>
      </w:tr>
      <w:tr w:rsidR="00D504B6" w14:paraId="3FBEB9D3"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28" w:type="dxa"/>
          </w:tcPr>
          <w:p w14:paraId="08977D5A" w14:textId="77777777" w:rsidR="00D504B6" w:rsidRDefault="00000000">
            <w:r>
              <w:rPr>
                <w:sz w:val="18"/>
              </w:rPr>
              <w:t>Best Params</w:t>
            </w:r>
          </w:p>
        </w:tc>
        <w:tc>
          <w:tcPr>
            <w:tcW w:w="2928" w:type="dxa"/>
          </w:tcPr>
          <w:p w14:paraId="36B092B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DD30%/Cool10</w:t>
            </w:r>
          </w:p>
        </w:tc>
        <w:tc>
          <w:tcPr>
            <w:tcW w:w="2928" w:type="dxa"/>
          </w:tcPr>
          <w:p w14:paraId="2EF9C9C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(same, applied forward)</w:t>
            </w:r>
          </w:p>
        </w:tc>
      </w:tr>
      <w:tr w:rsidR="00D504B6" w14:paraId="4A693042"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28" w:type="dxa"/>
          </w:tcPr>
          <w:p w14:paraId="12EBA806" w14:textId="77777777" w:rsidR="00D504B6" w:rsidRDefault="00000000">
            <w:r>
              <w:rPr>
                <w:sz w:val="18"/>
              </w:rPr>
              <w:lastRenderedPageBreak/>
              <w:t>CAGR</w:t>
            </w:r>
          </w:p>
        </w:tc>
        <w:tc>
          <w:tcPr>
            <w:tcW w:w="2928" w:type="dxa"/>
          </w:tcPr>
          <w:p w14:paraId="7599B5E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+41.0%</w:t>
            </w:r>
          </w:p>
        </w:tc>
        <w:tc>
          <w:tcPr>
            <w:tcW w:w="2928" w:type="dxa"/>
          </w:tcPr>
          <w:p w14:paraId="24E398C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+29.5%</w:t>
            </w:r>
          </w:p>
        </w:tc>
      </w:tr>
      <w:tr w:rsidR="00D504B6" w14:paraId="2756FB5B"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28" w:type="dxa"/>
          </w:tcPr>
          <w:p w14:paraId="406D3AA1" w14:textId="77777777" w:rsidR="00D504B6" w:rsidRDefault="00000000">
            <w:r>
              <w:rPr>
                <w:sz w:val="18"/>
              </w:rPr>
              <w:t>Sharpe</w:t>
            </w:r>
          </w:p>
        </w:tc>
        <w:tc>
          <w:tcPr>
            <w:tcW w:w="2928" w:type="dxa"/>
          </w:tcPr>
          <w:p w14:paraId="396F067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1.01</w:t>
            </w:r>
          </w:p>
        </w:tc>
        <w:tc>
          <w:tcPr>
            <w:tcW w:w="2928" w:type="dxa"/>
          </w:tcPr>
          <w:p w14:paraId="73588E4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0.74</w:t>
            </w:r>
          </w:p>
        </w:tc>
      </w:tr>
      <w:tr w:rsidR="00D504B6" w14:paraId="5C4D409A"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28" w:type="dxa"/>
          </w:tcPr>
          <w:p w14:paraId="4EF5A980" w14:textId="77777777" w:rsidR="00D504B6" w:rsidRDefault="00000000">
            <w:r>
              <w:rPr>
                <w:sz w:val="18"/>
              </w:rPr>
              <w:t>Max DD</w:t>
            </w:r>
          </w:p>
        </w:tc>
        <w:tc>
          <w:tcPr>
            <w:tcW w:w="2928" w:type="dxa"/>
          </w:tcPr>
          <w:p w14:paraId="41746C5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-45.2%</w:t>
            </w:r>
          </w:p>
        </w:tc>
        <w:tc>
          <w:tcPr>
            <w:tcW w:w="2928" w:type="dxa"/>
          </w:tcPr>
          <w:p w14:paraId="2A6E15F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-64.7%</w:t>
            </w:r>
          </w:p>
        </w:tc>
      </w:tr>
    </w:tbl>
    <w:p w14:paraId="1AB443AA" w14:textId="77777777" w:rsidR="00D504B6" w:rsidRDefault="00D504B6"/>
    <w:p w14:paraId="1094A3EE" w14:textId="77777777" w:rsidR="00D504B6" w:rsidRDefault="00000000">
      <w:pPr>
        <w:jc w:val="center"/>
      </w:pPr>
      <w:r>
        <w:rPr>
          <w:noProof/>
        </w:rPr>
        <w:drawing>
          <wp:inline distT="0" distB="0" distL="0" distR="0" wp14:anchorId="5A6DAA5C" wp14:editId="3C2D7AB1">
            <wp:extent cx="5486400" cy="22521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walk_forward.png"/>
                    <pic:cNvPicPr/>
                  </pic:nvPicPr>
                  <pic:blipFill>
                    <a:blip r:embed="rId11"/>
                    <a:stretch>
                      <a:fillRect/>
                    </a:stretch>
                  </pic:blipFill>
                  <pic:spPr>
                    <a:xfrm>
                      <a:off x="0" y="0"/>
                      <a:ext cx="5486400" cy="2252190"/>
                    </a:xfrm>
                    <a:prstGeom prst="rect">
                      <a:avLst/>
                    </a:prstGeom>
                  </pic:spPr>
                </pic:pic>
              </a:graphicData>
            </a:graphic>
          </wp:inline>
        </w:drawing>
      </w:r>
    </w:p>
    <w:p w14:paraId="3161ACC4" w14:textId="77777777" w:rsidR="00D504B6" w:rsidRDefault="00D504B6"/>
    <w:p w14:paraId="0B2DA3BD" w14:textId="77777777" w:rsidR="00D504B6" w:rsidRDefault="00000000">
      <w:pPr>
        <w:pStyle w:val="Heading2"/>
      </w:pPr>
      <w:r>
        <w:t>The Lost Decade: Synthetic Pre-2009 UPRO</w:t>
      </w:r>
    </w:p>
    <w:p w14:paraId="70EF368A" w14:textId="77777777" w:rsidR="00D504B6" w:rsidRDefault="00000000">
      <w:r>
        <w:t>UPRO launched in June 2009, conveniently at the start of a historic bull market. What would have happened during the 2000-2009 "lost decade" -- dot-com crash, GFC, and everything in between?</w:t>
      </w:r>
    </w:p>
    <w:p w14:paraId="240C44C5" w14:textId="77777777" w:rsidR="00D504B6" w:rsidRDefault="00000000">
      <w:r>
        <w:t>I constructed a synthetic UPRO by applying 3x daily-leveraged returns to SPY price data (dividends excluded, consistent with the rest of this analysis) going back to 1993, with a 0.89% expense ratio drag. This isn't a perfect proxy (it ignores swap costs, dividend effects, and other ETF-specific factors), but it gives us a directional answer.</w:t>
      </w:r>
    </w:p>
    <w:p w14:paraId="05B6FE21" w14:textId="77777777" w:rsidR="00D504B6" w:rsidRDefault="00000000">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14:paraId="583FF32E" w14:textId="77777777" w:rsidR="00D504B6" w:rsidRDefault="00000000">
      <w:r>
        <w:t>Over the full 1993-2026 period, DD25%/Cool40 slightly outperformed B&amp;H: 20.9% CAGR vs 20.6% CAGR, with a 0.61 Sharpe vs 0.57. The drawdown exit earns its keep mostly by surviving the catastrophic periods, then riding the recovery.</w:t>
      </w:r>
    </w:p>
    <w:tbl>
      <w:tblPr>
        <w:tblStyle w:val="LightGrid-Accent1"/>
        <w:tblW w:w="0" w:type="auto"/>
        <w:jc w:val="center"/>
        <w:tblLook w:val="04A0" w:firstRow="1" w:lastRow="0" w:firstColumn="1" w:lastColumn="0" w:noHBand="0" w:noVBand="1"/>
      </w:tblPr>
      <w:tblGrid>
        <w:gridCol w:w="1464"/>
        <w:gridCol w:w="1464"/>
        <w:gridCol w:w="1464"/>
        <w:gridCol w:w="1464"/>
        <w:gridCol w:w="1464"/>
        <w:gridCol w:w="1464"/>
      </w:tblGrid>
      <w:tr w:rsidR="00D504B6" w14:paraId="2B339E08"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28611895" w14:textId="77777777" w:rsidR="00D504B6" w:rsidRDefault="00000000">
            <w:pPr>
              <w:jc w:val="center"/>
            </w:pPr>
            <w:r>
              <w:rPr>
                <w:sz w:val="18"/>
              </w:rPr>
              <w:t>Period</w:t>
            </w:r>
          </w:p>
        </w:tc>
        <w:tc>
          <w:tcPr>
            <w:tcW w:w="1464" w:type="dxa"/>
          </w:tcPr>
          <w:p w14:paraId="2FF8E30C"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Strategy</w:t>
            </w:r>
          </w:p>
        </w:tc>
        <w:tc>
          <w:tcPr>
            <w:tcW w:w="1464" w:type="dxa"/>
          </w:tcPr>
          <w:p w14:paraId="7A2B11CE"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End Value</w:t>
            </w:r>
          </w:p>
        </w:tc>
        <w:tc>
          <w:tcPr>
            <w:tcW w:w="1464" w:type="dxa"/>
          </w:tcPr>
          <w:p w14:paraId="615712DB"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CAGR</w:t>
            </w:r>
          </w:p>
        </w:tc>
        <w:tc>
          <w:tcPr>
            <w:tcW w:w="1464" w:type="dxa"/>
          </w:tcPr>
          <w:p w14:paraId="647B41AF"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Sharpe</w:t>
            </w:r>
          </w:p>
        </w:tc>
        <w:tc>
          <w:tcPr>
            <w:tcW w:w="1464" w:type="dxa"/>
          </w:tcPr>
          <w:p w14:paraId="6793C684"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Max DD</w:t>
            </w:r>
          </w:p>
        </w:tc>
      </w:tr>
      <w:tr w:rsidR="00D504B6" w14:paraId="4FDD8078"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764257D8" w14:textId="77777777" w:rsidR="00D504B6" w:rsidRDefault="00000000">
            <w:r>
              <w:rPr>
                <w:sz w:val="18"/>
              </w:rPr>
              <w:t>2000-2009</w:t>
            </w:r>
          </w:p>
        </w:tc>
        <w:tc>
          <w:tcPr>
            <w:tcW w:w="1464" w:type="dxa"/>
          </w:tcPr>
          <w:p w14:paraId="6A30E97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Syn UPRO B&amp;H</w:t>
            </w:r>
          </w:p>
        </w:tc>
        <w:tc>
          <w:tcPr>
            <w:tcW w:w="1464" w:type="dxa"/>
          </w:tcPr>
          <w:p w14:paraId="717A292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$8.8K</w:t>
            </w:r>
          </w:p>
        </w:tc>
        <w:tc>
          <w:tcPr>
            <w:tcW w:w="1464" w:type="dxa"/>
          </w:tcPr>
          <w:p w14:paraId="768A186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-22.7%</w:t>
            </w:r>
          </w:p>
        </w:tc>
        <w:tc>
          <w:tcPr>
            <w:tcW w:w="1464" w:type="dxa"/>
          </w:tcPr>
          <w:p w14:paraId="2AD73A3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-0.08</w:t>
            </w:r>
          </w:p>
        </w:tc>
        <w:tc>
          <w:tcPr>
            <w:tcW w:w="1464" w:type="dxa"/>
          </w:tcPr>
          <w:p w14:paraId="1DE0B07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-96.7%</w:t>
            </w:r>
          </w:p>
        </w:tc>
      </w:tr>
      <w:tr w:rsidR="00D504B6" w14:paraId="5CA2C4AA"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7F9655E1" w14:textId="77777777" w:rsidR="00D504B6" w:rsidRDefault="00000000">
            <w:r>
              <w:rPr>
                <w:sz w:val="18"/>
              </w:rPr>
              <w:t>2000-2009</w:t>
            </w:r>
          </w:p>
        </w:tc>
        <w:tc>
          <w:tcPr>
            <w:tcW w:w="1464" w:type="dxa"/>
          </w:tcPr>
          <w:p w14:paraId="45699438"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Syn DD25/Cool40</w:t>
            </w:r>
          </w:p>
        </w:tc>
        <w:tc>
          <w:tcPr>
            <w:tcW w:w="1464" w:type="dxa"/>
          </w:tcPr>
          <w:p w14:paraId="7E680F5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$16.2K</w:t>
            </w:r>
          </w:p>
        </w:tc>
        <w:tc>
          <w:tcPr>
            <w:tcW w:w="1464" w:type="dxa"/>
          </w:tcPr>
          <w:p w14:paraId="79227FFB"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-17.5%</w:t>
            </w:r>
          </w:p>
        </w:tc>
        <w:tc>
          <w:tcPr>
            <w:tcW w:w="1464" w:type="dxa"/>
          </w:tcPr>
          <w:p w14:paraId="3B94C3AF"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-0.27</w:t>
            </w:r>
          </w:p>
        </w:tc>
        <w:tc>
          <w:tcPr>
            <w:tcW w:w="1464" w:type="dxa"/>
          </w:tcPr>
          <w:p w14:paraId="5523E20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-92.8%</w:t>
            </w:r>
          </w:p>
        </w:tc>
      </w:tr>
      <w:tr w:rsidR="00D504B6" w14:paraId="73A017BB"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6B5F8858" w14:textId="77777777" w:rsidR="00D504B6" w:rsidRDefault="00000000">
            <w:r>
              <w:rPr>
                <w:sz w:val="18"/>
              </w:rPr>
              <w:t>1993-2026</w:t>
            </w:r>
          </w:p>
        </w:tc>
        <w:tc>
          <w:tcPr>
            <w:tcW w:w="1464" w:type="dxa"/>
          </w:tcPr>
          <w:p w14:paraId="4AFE88F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Syn UPRO B&amp;H</w:t>
            </w:r>
          </w:p>
        </w:tc>
        <w:tc>
          <w:tcPr>
            <w:tcW w:w="1464" w:type="dxa"/>
          </w:tcPr>
          <w:p w14:paraId="21D91BE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$49.1M</w:t>
            </w:r>
          </w:p>
        </w:tc>
        <w:tc>
          <w:tcPr>
            <w:tcW w:w="1464" w:type="dxa"/>
          </w:tcPr>
          <w:p w14:paraId="21108B9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+20.6%</w:t>
            </w:r>
          </w:p>
        </w:tc>
        <w:tc>
          <w:tcPr>
            <w:tcW w:w="1464" w:type="dxa"/>
          </w:tcPr>
          <w:p w14:paraId="12C8FB4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0.57</w:t>
            </w:r>
          </w:p>
        </w:tc>
        <w:tc>
          <w:tcPr>
            <w:tcW w:w="1464" w:type="dxa"/>
          </w:tcPr>
          <w:p w14:paraId="435D76B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-96.7%</w:t>
            </w:r>
          </w:p>
        </w:tc>
      </w:tr>
      <w:tr w:rsidR="00D504B6" w14:paraId="5ACB80DD"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5FBB4530" w14:textId="77777777" w:rsidR="00D504B6" w:rsidRDefault="00000000">
            <w:r>
              <w:rPr>
                <w:sz w:val="18"/>
              </w:rPr>
              <w:lastRenderedPageBreak/>
              <w:t>1993-2026</w:t>
            </w:r>
          </w:p>
        </w:tc>
        <w:tc>
          <w:tcPr>
            <w:tcW w:w="1464" w:type="dxa"/>
          </w:tcPr>
          <w:p w14:paraId="2E5A1DC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Syn DD25/Cool40</w:t>
            </w:r>
          </w:p>
        </w:tc>
        <w:tc>
          <w:tcPr>
            <w:tcW w:w="1464" w:type="dxa"/>
          </w:tcPr>
          <w:p w14:paraId="52351EE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$53.4M</w:t>
            </w:r>
          </w:p>
        </w:tc>
        <w:tc>
          <w:tcPr>
            <w:tcW w:w="1464" w:type="dxa"/>
          </w:tcPr>
          <w:p w14:paraId="5AEE716F"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+20.9%</w:t>
            </w:r>
          </w:p>
        </w:tc>
        <w:tc>
          <w:tcPr>
            <w:tcW w:w="1464" w:type="dxa"/>
          </w:tcPr>
          <w:p w14:paraId="0882850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0.61</w:t>
            </w:r>
          </w:p>
        </w:tc>
        <w:tc>
          <w:tcPr>
            <w:tcW w:w="1464" w:type="dxa"/>
          </w:tcPr>
          <w:p w14:paraId="1236C90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-92.8%</w:t>
            </w:r>
          </w:p>
        </w:tc>
      </w:tr>
    </w:tbl>
    <w:p w14:paraId="4C1B7E45" w14:textId="77777777" w:rsidR="00D504B6" w:rsidRDefault="00D504B6"/>
    <w:p w14:paraId="55C7EAB1" w14:textId="77777777" w:rsidR="00D504B6" w:rsidRDefault="00000000">
      <w:pPr>
        <w:jc w:val="center"/>
      </w:pPr>
      <w:r>
        <w:rPr>
          <w:noProof/>
        </w:rPr>
        <w:drawing>
          <wp:inline distT="0" distB="0" distL="0" distR="0" wp14:anchorId="37C8A806" wp14:editId="27E2D236">
            <wp:extent cx="5486400" cy="32674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ynthetic_upro.png"/>
                    <pic:cNvPicPr/>
                  </pic:nvPicPr>
                  <pic:blipFill>
                    <a:blip r:embed="rId12"/>
                    <a:stretch>
                      <a:fillRect/>
                    </a:stretch>
                  </pic:blipFill>
                  <pic:spPr>
                    <a:xfrm>
                      <a:off x="0" y="0"/>
                      <a:ext cx="5486400" cy="3267431"/>
                    </a:xfrm>
                    <a:prstGeom prst="rect">
                      <a:avLst/>
                    </a:prstGeom>
                  </pic:spPr>
                </pic:pic>
              </a:graphicData>
            </a:graphic>
          </wp:inline>
        </w:drawing>
      </w:r>
    </w:p>
    <w:p w14:paraId="71836908" w14:textId="77777777" w:rsidR="00D504B6" w:rsidRDefault="00D504B6"/>
    <w:p w14:paraId="596144DA" w14:textId="77777777" w:rsidR="00D504B6" w:rsidRDefault="00000000">
      <w:pPr>
        <w:pStyle w:val="Heading2"/>
      </w:pPr>
      <w:r>
        <w:t>SMA Re-Entry Gate</w:t>
      </w:r>
    </w:p>
    <w:p w14:paraId="039B3D3C" w14:textId="77777777" w:rsidR="00D504B6" w:rsidRDefault="00000000">
      <w:r>
        <w:t>One natural enhancement to the drawdown exit: instead of re-entering after the cooling period expires unconditionally, require that SPY be above its N-day simple moving average. The theory is that an SMA gate prevents re-entry during prolonged downtrends.</w:t>
      </w:r>
    </w:p>
    <w:p w14:paraId="7588D8B2" w14:textId="77777777" w:rsidR="00D504B6" w:rsidRDefault="00000000">
      <w:r>
        <w:t xml:space="preserve">I tested adding SMA50, SMA100, and SMA200 gates to the DD25%/Cool40 re-entry rule. In every case, the gate made things </w:t>
      </w:r>
      <w:r>
        <w:rPr>
          <w:i/>
        </w:rPr>
        <w:t>worse</w:t>
      </w:r>
      <w:r>
        <w:t>:</w:t>
      </w:r>
    </w:p>
    <w:tbl>
      <w:tblPr>
        <w:tblStyle w:val="LightGrid-Accent1"/>
        <w:tblW w:w="0" w:type="auto"/>
        <w:jc w:val="center"/>
        <w:tblLook w:val="04A0" w:firstRow="1" w:lastRow="0" w:firstColumn="1" w:lastColumn="0" w:noHBand="0" w:noVBand="1"/>
      </w:tblPr>
      <w:tblGrid>
        <w:gridCol w:w="1757"/>
        <w:gridCol w:w="1757"/>
        <w:gridCol w:w="1757"/>
        <w:gridCol w:w="1757"/>
        <w:gridCol w:w="1757"/>
      </w:tblGrid>
      <w:tr w:rsidR="00D504B6" w14:paraId="73D72D13"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1DEE23D2" w14:textId="77777777" w:rsidR="00D504B6" w:rsidRDefault="00000000">
            <w:pPr>
              <w:jc w:val="center"/>
            </w:pPr>
            <w:r>
              <w:rPr>
                <w:sz w:val="18"/>
              </w:rPr>
              <w:t>Variant</w:t>
            </w:r>
          </w:p>
        </w:tc>
        <w:tc>
          <w:tcPr>
            <w:tcW w:w="1757" w:type="dxa"/>
          </w:tcPr>
          <w:p w14:paraId="53E0EC34"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End Value</w:t>
            </w:r>
          </w:p>
        </w:tc>
        <w:tc>
          <w:tcPr>
            <w:tcW w:w="1757" w:type="dxa"/>
          </w:tcPr>
          <w:p w14:paraId="76D27A94"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CAGR</w:t>
            </w:r>
          </w:p>
        </w:tc>
        <w:tc>
          <w:tcPr>
            <w:tcW w:w="1757" w:type="dxa"/>
          </w:tcPr>
          <w:p w14:paraId="03B56AFE"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Sharpe</w:t>
            </w:r>
          </w:p>
        </w:tc>
        <w:tc>
          <w:tcPr>
            <w:tcW w:w="1757" w:type="dxa"/>
          </w:tcPr>
          <w:p w14:paraId="61D6430D"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Max DD</w:t>
            </w:r>
          </w:p>
        </w:tc>
      </w:tr>
      <w:tr w:rsidR="00D504B6" w14:paraId="1876AC4C"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20E92C90" w14:textId="77777777" w:rsidR="00D504B6" w:rsidRDefault="00000000">
            <w:r>
              <w:rPr>
                <w:sz w:val="18"/>
              </w:rPr>
              <w:t>DD25%/Cool40 (no gate)</w:t>
            </w:r>
          </w:p>
        </w:tc>
        <w:tc>
          <w:tcPr>
            <w:tcW w:w="1757" w:type="dxa"/>
          </w:tcPr>
          <w:p w14:paraId="2C5F512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$8.4M</w:t>
            </w:r>
          </w:p>
        </w:tc>
        <w:tc>
          <w:tcPr>
            <w:tcW w:w="1757" w:type="dxa"/>
          </w:tcPr>
          <w:p w14:paraId="5FB8170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+30.5%</w:t>
            </w:r>
          </w:p>
        </w:tc>
        <w:tc>
          <w:tcPr>
            <w:tcW w:w="1757" w:type="dxa"/>
          </w:tcPr>
          <w:p w14:paraId="3458890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0.85</w:t>
            </w:r>
          </w:p>
        </w:tc>
        <w:tc>
          <w:tcPr>
            <w:tcW w:w="1757" w:type="dxa"/>
          </w:tcPr>
          <w:p w14:paraId="438D22A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-41.8%</w:t>
            </w:r>
          </w:p>
        </w:tc>
      </w:tr>
      <w:tr w:rsidR="00D504B6" w14:paraId="64B2B9C8"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1BBC945D" w14:textId="77777777" w:rsidR="00D504B6" w:rsidRDefault="00000000">
            <w:r>
              <w:rPr>
                <w:sz w:val="18"/>
              </w:rPr>
              <w:t>+SMA50 gate</w:t>
            </w:r>
          </w:p>
        </w:tc>
        <w:tc>
          <w:tcPr>
            <w:tcW w:w="1757" w:type="dxa"/>
          </w:tcPr>
          <w:p w14:paraId="2C946278"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$4.3M</w:t>
            </w:r>
          </w:p>
        </w:tc>
        <w:tc>
          <w:tcPr>
            <w:tcW w:w="1757" w:type="dxa"/>
          </w:tcPr>
          <w:p w14:paraId="53924F4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+25.3%</w:t>
            </w:r>
          </w:p>
        </w:tc>
        <w:tc>
          <w:tcPr>
            <w:tcW w:w="1757" w:type="dxa"/>
          </w:tcPr>
          <w:p w14:paraId="2EF89E7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0.76</w:t>
            </w:r>
          </w:p>
        </w:tc>
        <w:tc>
          <w:tcPr>
            <w:tcW w:w="1757" w:type="dxa"/>
          </w:tcPr>
          <w:p w14:paraId="12E48AEF"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-45.1%</w:t>
            </w:r>
          </w:p>
        </w:tc>
      </w:tr>
      <w:tr w:rsidR="00D504B6" w14:paraId="6B77FDEC"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378E0805" w14:textId="77777777" w:rsidR="00D504B6" w:rsidRDefault="00000000">
            <w:r>
              <w:rPr>
                <w:sz w:val="18"/>
              </w:rPr>
              <w:t>+SMA100 gate</w:t>
            </w:r>
          </w:p>
        </w:tc>
        <w:tc>
          <w:tcPr>
            <w:tcW w:w="1757" w:type="dxa"/>
          </w:tcPr>
          <w:p w14:paraId="5ED683E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$2.1M</w:t>
            </w:r>
          </w:p>
        </w:tc>
        <w:tc>
          <w:tcPr>
            <w:tcW w:w="1757" w:type="dxa"/>
          </w:tcPr>
          <w:p w14:paraId="668F17D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757" w:type="dxa"/>
          </w:tcPr>
          <w:p w14:paraId="1A91CA8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0.65</w:t>
            </w:r>
          </w:p>
        </w:tc>
        <w:tc>
          <w:tcPr>
            <w:tcW w:w="1757" w:type="dxa"/>
          </w:tcPr>
          <w:p w14:paraId="661269F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-55.6%</w:t>
            </w:r>
          </w:p>
        </w:tc>
      </w:tr>
      <w:tr w:rsidR="00D504B6" w14:paraId="0EC1AF22"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755534BA" w14:textId="77777777" w:rsidR="00D504B6" w:rsidRDefault="00000000">
            <w:r>
              <w:rPr>
                <w:sz w:val="18"/>
              </w:rPr>
              <w:t>+SMA200 gate</w:t>
            </w:r>
          </w:p>
        </w:tc>
        <w:tc>
          <w:tcPr>
            <w:tcW w:w="1757" w:type="dxa"/>
          </w:tcPr>
          <w:p w14:paraId="60D4B64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$1.5M</w:t>
            </w:r>
          </w:p>
        </w:tc>
        <w:tc>
          <w:tcPr>
            <w:tcW w:w="1757" w:type="dxa"/>
          </w:tcPr>
          <w:p w14:paraId="5B61EBF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+17.7%</w:t>
            </w:r>
          </w:p>
        </w:tc>
        <w:tc>
          <w:tcPr>
            <w:tcW w:w="1757" w:type="dxa"/>
          </w:tcPr>
          <w:p w14:paraId="56A5DCE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0.60</w:t>
            </w:r>
          </w:p>
        </w:tc>
        <w:tc>
          <w:tcPr>
            <w:tcW w:w="1757" w:type="dxa"/>
          </w:tcPr>
          <w:p w14:paraId="3417C3D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-63.9%</w:t>
            </w:r>
          </w:p>
        </w:tc>
      </w:tr>
    </w:tbl>
    <w:p w14:paraId="37686785" w14:textId="77777777" w:rsidR="00D504B6" w:rsidRDefault="00D504B6"/>
    <w:p w14:paraId="3B582DB0" w14:textId="77777777" w:rsidR="00D504B6" w:rsidRDefault="00000000">
      <w:r>
        <w:t xml:space="preserve">Every SMA gate reduced CAGR, reduced Sharpe, and -- counterintuitively -- increased max drawdown. The longer the SMA lookback, the worse the damage. The explanation: after a drawdown, the SMA gate delays re-entry while waiting for the moving average to confirm an </w:t>
      </w:r>
      <w:r>
        <w:lastRenderedPageBreak/>
        <w:t>uptrend. But the fastest gains come in the early stages of recovery, exactly when the SMA is still below the price. By waiting for SMA confirmation, you miss the bounce.</w:t>
      </w:r>
    </w:p>
    <w:p w14:paraId="40DD80A5" w14:textId="77777777" w:rsidR="00D504B6" w:rsidRDefault="00000000">
      <w:pPr>
        <w:jc w:val="center"/>
      </w:pPr>
      <w:r>
        <w:rPr>
          <w:noProof/>
        </w:rPr>
        <w:drawing>
          <wp:inline distT="0" distB="0" distL="0" distR="0" wp14:anchorId="43A727E6" wp14:editId="7EB28AED">
            <wp:extent cx="5486400" cy="32674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ma_gate.png"/>
                    <pic:cNvPicPr/>
                  </pic:nvPicPr>
                  <pic:blipFill>
                    <a:blip r:embed="rId13"/>
                    <a:stretch>
                      <a:fillRect/>
                    </a:stretch>
                  </pic:blipFill>
                  <pic:spPr>
                    <a:xfrm>
                      <a:off x="0" y="0"/>
                      <a:ext cx="5486400" cy="3267431"/>
                    </a:xfrm>
                    <a:prstGeom prst="rect">
                      <a:avLst/>
                    </a:prstGeom>
                  </pic:spPr>
                </pic:pic>
              </a:graphicData>
            </a:graphic>
          </wp:inline>
        </w:drawing>
      </w:r>
    </w:p>
    <w:p w14:paraId="0C9D0D44" w14:textId="77777777" w:rsidR="00D504B6" w:rsidRDefault="00D504B6"/>
    <w:p w14:paraId="00129C95" w14:textId="77777777" w:rsidR="00D504B6" w:rsidRDefault="00000000">
      <w:pPr>
        <w:pStyle w:val="Heading2"/>
      </w:pPr>
      <w:r>
        <w:t>What About SMA as the Primary Signal?</w:t>
      </w:r>
    </w:p>
    <w:p w14:paraId="650DC06A" w14:textId="77777777" w:rsidR="00D504B6" w:rsidRDefault="00000000">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14:paraId="5B9B9CDE" w14:textId="77777777" w:rsidR="00D504B6" w:rsidRDefault="00000000">
      <w:r>
        <w:t>This is a well-known trend-following approach. SPY's 200-day moving average is one of the most widely tracked technical indicators in finance. I also tested a buffered variant: exit when SPY falls 2% below the SMA200 (providing a buffer to reduce whipsaws), and re-enter when it crosses back above.</w:t>
      </w:r>
    </w:p>
    <w:tbl>
      <w:tblPr>
        <w:tblStyle w:val="LightGrid-Accent1"/>
        <w:tblW w:w="0" w:type="auto"/>
        <w:jc w:val="center"/>
        <w:tblLook w:val="04A0" w:firstRow="1" w:lastRow="0" w:firstColumn="1" w:lastColumn="0" w:noHBand="0" w:noVBand="1"/>
      </w:tblPr>
      <w:tblGrid>
        <w:gridCol w:w="1392"/>
        <w:gridCol w:w="1255"/>
        <w:gridCol w:w="1255"/>
        <w:gridCol w:w="1255"/>
        <w:gridCol w:w="1255"/>
        <w:gridCol w:w="1255"/>
        <w:gridCol w:w="1255"/>
      </w:tblGrid>
      <w:tr w:rsidR="00D504B6" w14:paraId="30B8D791"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7BDDC983" w14:textId="77777777" w:rsidR="00D504B6" w:rsidRDefault="00000000">
            <w:pPr>
              <w:jc w:val="center"/>
            </w:pPr>
            <w:r>
              <w:rPr>
                <w:sz w:val="18"/>
              </w:rPr>
              <w:t>Strategy</w:t>
            </w:r>
          </w:p>
        </w:tc>
        <w:tc>
          <w:tcPr>
            <w:tcW w:w="1255" w:type="dxa"/>
          </w:tcPr>
          <w:p w14:paraId="068890C4"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End Value</w:t>
            </w:r>
          </w:p>
        </w:tc>
        <w:tc>
          <w:tcPr>
            <w:tcW w:w="1255" w:type="dxa"/>
          </w:tcPr>
          <w:p w14:paraId="40267184"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CAGR</w:t>
            </w:r>
          </w:p>
        </w:tc>
        <w:tc>
          <w:tcPr>
            <w:tcW w:w="1255" w:type="dxa"/>
          </w:tcPr>
          <w:p w14:paraId="1DDDA547"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Sharpe</w:t>
            </w:r>
          </w:p>
        </w:tc>
        <w:tc>
          <w:tcPr>
            <w:tcW w:w="1255" w:type="dxa"/>
          </w:tcPr>
          <w:p w14:paraId="5B1A63D7"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Max DD</w:t>
            </w:r>
          </w:p>
        </w:tc>
        <w:tc>
          <w:tcPr>
            <w:tcW w:w="1255" w:type="dxa"/>
          </w:tcPr>
          <w:p w14:paraId="1E752126"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Trades</w:t>
            </w:r>
          </w:p>
        </w:tc>
        <w:tc>
          <w:tcPr>
            <w:tcW w:w="1255" w:type="dxa"/>
          </w:tcPr>
          <w:p w14:paraId="0E8573D1"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 Invested</w:t>
            </w:r>
          </w:p>
        </w:tc>
      </w:tr>
      <w:tr w:rsidR="00D504B6" w14:paraId="359AF927"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3E32A9D2" w14:textId="77777777" w:rsidR="00D504B6" w:rsidRDefault="00000000">
            <w:r>
              <w:rPr>
                <w:sz w:val="18"/>
              </w:rPr>
              <w:t>DD25%/Cool40</w:t>
            </w:r>
          </w:p>
        </w:tc>
        <w:tc>
          <w:tcPr>
            <w:tcW w:w="1255" w:type="dxa"/>
          </w:tcPr>
          <w:p w14:paraId="38A9B67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$8.4M</w:t>
            </w:r>
          </w:p>
        </w:tc>
        <w:tc>
          <w:tcPr>
            <w:tcW w:w="1255" w:type="dxa"/>
          </w:tcPr>
          <w:p w14:paraId="61C95FD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+30.5%</w:t>
            </w:r>
          </w:p>
        </w:tc>
        <w:tc>
          <w:tcPr>
            <w:tcW w:w="1255" w:type="dxa"/>
          </w:tcPr>
          <w:p w14:paraId="056DF9C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0.85</w:t>
            </w:r>
          </w:p>
        </w:tc>
        <w:tc>
          <w:tcPr>
            <w:tcW w:w="1255" w:type="dxa"/>
          </w:tcPr>
          <w:p w14:paraId="6713C56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-41.8%</w:t>
            </w:r>
          </w:p>
        </w:tc>
        <w:tc>
          <w:tcPr>
            <w:tcW w:w="1255" w:type="dxa"/>
          </w:tcPr>
          <w:p w14:paraId="7C89855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31</w:t>
            </w:r>
          </w:p>
        </w:tc>
        <w:tc>
          <w:tcPr>
            <w:tcW w:w="1255" w:type="dxa"/>
          </w:tcPr>
          <w:p w14:paraId="42CC606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86%</w:t>
            </w:r>
          </w:p>
        </w:tc>
      </w:tr>
      <w:tr w:rsidR="00D504B6" w14:paraId="5CF71BAA"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15552DAE" w14:textId="77777777" w:rsidR="00D504B6" w:rsidRDefault="00000000">
            <w:r>
              <w:rPr>
                <w:sz w:val="18"/>
              </w:rPr>
              <w:t>SMA200</w:t>
            </w:r>
          </w:p>
        </w:tc>
        <w:tc>
          <w:tcPr>
            <w:tcW w:w="1255" w:type="dxa"/>
          </w:tcPr>
          <w:p w14:paraId="7FC61DE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$1.2M</w:t>
            </w:r>
          </w:p>
        </w:tc>
        <w:tc>
          <w:tcPr>
            <w:tcW w:w="1255" w:type="dxa"/>
          </w:tcPr>
          <w:p w14:paraId="6E7577B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+15.9%</w:t>
            </w:r>
          </w:p>
        </w:tc>
        <w:tc>
          <w:tcPr>
            <w:tcW w:w="1255" w:type="dxa"/>
          </w:tcPr>
          <w:p w14:paraId="2B7E70D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0.56</w:t>
            </w:r>
          </w:p>
        </w:tc>
        <w:tc>
          <w:tcPr>
            <w:tcW w:w="1255" w:type="dxa"/>
          </w:tcPr>
          <w:p w14:paraId="2CBB94F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-57.9%</w:t>
            </w:r>
          </w:p>
        </w:tc>
        <w:tc>
          <w:tcPr>
            <w:tcW w:w="1255" w:type="dxa"/>
          </w:tcPr>
          <w:p w14:paraId="334F802F"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89</w:t>
            </w:r>
          </w:p>
        </w:tc>
        <w:tc>
          <w:tcPr>
            <w:tcW w:w="1255" w:type="dxa"/>
          </w:tcPr>
          <w:p w14:paraId="0BF54F7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80%</w:t>
            </w:r>
          </w:p>
        </w:tc>
      </w:tr>
      <w:tr w:rsidR="00D504B6" w14:paraId="48DB1AF7"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0EED3DE0" w14:textId="77777777" w:rsidR="00D504B6" w:rsidRDefault="00000000">
            <w:r>
              <w:rPr>
                <w:sz w:val="18"/>
              </w:rPr>
              <w:t>SMA100</w:t>
            </w:r>
          </w:p>
        </w:tc>
        <w:tc>
          <w:tcPr>
            <w:tcW w:w="1255" w:type="dxa"/>
          </w:tcPr>
          <w:p w14:paraId="3E6B6A2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$2.6M</w:t>
            </w:r>
          </w:p>
        </w:tc>
        <w:tc>
          <w:tcPr>
            <w:tcW w:w="1255" w:type="dxa"/>
          </w:tcPr>
          <w:p w14:paraId="39D53C3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+21.5%</w:t>
            </w:r>
          </w:p>
        </w:tc>
        <w:tc>
          <w:tcPr>
            <w:tcW w:w="1255" w:type="dxa"/>
          </w:tcPr>
          <w:p w14:paraId="44737A6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0.72</w:t>
            </w:r>
          </w:p>
        </w:tc>
        <w:tc>
          <w:tcPr>
            <w:tcW w:w="1255" w:type="dxa"/>
          </w:tcPr>
          <w:p w14:paraId="1D2B56E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-46.0%</w:t>
            </w:r>
          </w:p>
        </w:tc>
        <w:tc>
          <w:tcPr>
            <w:tcW w:w="1255" w:type="dxa"/>
          </w:tcPr>
          <w:p w14:paraId="22B27A9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170</w:t>
            </w:r>
          </w:p>
        </w:tc>
        <w:tc>
          <w:tcPr>
            <w:tcW w:w="1255" w:type="dxa"/>
          </w:tcPr>
          <w:p w14:paraId="3415F16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78%</w:t>
            </w:r>
          </w:p>
        </w:tc>
      </w:tr>
      <w:tr w:rsidR="00D504B6" w14:paraId="126EC26F"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18A65D0F" w14:textId="77777777" w:rsidR="00D504B6" w:rsidRDefault="00000000">
            <w:r>
              <w:rPr>
                <w:sz w:val="18"/>
              </w:rPr>
              <w:t>SMA50</w:t>
            </w:r>
          </w:p>
        </w:tc>
        <w:tc>
          <w:tcPr>
            <w:tcW w:w="1255" w:type="dxa"/>
          </w:tcPr>
          <w:p w14:paraId="414CCE6F"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$737K</w:t>
            </w:r>
          </w:p>
        </w:tc>
        <w:tc>
          <w:tcPr>
            <w:tcW w:w="1255" w:type="dxa"/>
          </w:tcPr>
          <w:p w14:paraId="3A9844D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+12.7%</w:t>
            </w:r>
          </w:p>
        </w:tc>
        <w:tc>
          <w:tcPr>
            <w:tcW w:w="1255" w:type="dxa"/>
          </w:tcPr>
          <w:p w14:paraId="7E953DF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0.50</w:t>
            </w:r>
          </w:p>
        </w:tc>
        <w:tc>
          <w:tcPr>
            <w:tcW w:w="1255" w:type="dxa"/>
          </w:tcPr>
          <w:p w14:paraId="3E76715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-52.3%</w:t>
            </w:r>
          </w:p>
        </w:tc>
        <w:tc>
          <w:tcPr>
            <w:tcW w:w="1255" w:type="dxa"/>
          </w:tcPr>
          <w:p w14:paraId="60E5E26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282</w:t>
            </w:r>
          </w:p>
        </w:tc>
        <w:tc>
          <w:tcPr>
            <w:tcW w:w="1255" w:type="dxa"/>
          </w:tcPr>
          <w:p w14:paraId="6E2B692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72%</w:t>
            </w:r>
          </w:p>
        </w:tc>
      </w:tr>
      <w:tr w:rsidR="00D504B6" w14:paraId="7F76C274"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3E25E322" w14:textId="77777777" w:rsidR="00D504B6" w:rsidRDefault="00000000">
            <w:r>
              <w:rPr>
                <w:sz w:val="18"/>
              </w:rPr>
              <w:t>SMA200/2%buf</w:t>
            </w:r>
          </w:p>
        </w:tc>
        <w:tc>
          <w:tcPr>
            <w:tcW w:w="1255" w:type="dxa"/>
          </w:tcPr>
          <w:p w14:paraId="4E875BC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$784K</w:t>
            </w:r>
          </w:p>
        </w:tc>
        <w:tc>
          <w:tcPr>
            <w:tcW w:w="1255" w:type="dxa"/>
          </w:tcPr>
          <w:p w14:paraId="39D8C59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+13.2%</w:t>
            </w:r>
          </w:p>
        </w:tc>
        <w:tc>
          <w:tcPr>
            <w:tcW w:w="1255" w:type="dxa"/>
          </w:tcPr>
          <w:p w14:paraId="4C2246E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0.49</w:t>
            </w:r>
          </w:p>
        </w:tc>
        <w:tc>
          <w:tcPr>
            <w:tcW w:w="1255" w:type="dxa"/>
          </w:tcPr>
          <w:p w14:paraId="5A077D4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-59.6%</w:t>
            </w:r>
          </w:p>
        </w:tc>
        <w:tc>
          <w:tcPr>
            <w:tcW w:w="1255" w:type="dxa"/>
          </w:tcPr>
          <w:p w14:paraId="6C5D4FA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49</w:t>
            </w:r>
          </w:p>
        </w:tc>
        <w:tc>
          <w:tcPr>
            <w:tcW w:w="1255" w:type="dxa"/>
          </w:tcPr>
          <w:p w14:paraId="52C58B1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82%</w:t>
            </w:r>
          </w:p>
        </w:tc>
      </w:tr>
    </w:tbl>
    <w:p w14:paraId="0A0EE410" w14:textId="77777777" w:rsidR="00D504B6" w:rsidRDefault="00D504B6"/>
    <w:p w14:paraId="78500077" w14:textId="77777777" w:rsidR="00D504B6" w:rsidRDefault="00000000">
      <w:r>
        <w:lastRenderedPageBreak/>
        <w:t xml:space="preserve">None of the pure SMA filters come close to DD25%/Cool40 on any metric. SMA100 is the best of the group -- a 21.5% CAGR with a 0.72 Sharpe and -46.0% max drawdown -- but it still trails the drawdown exit by 9 percentage points of CAGR with a worse Sharpe. SMA50 whipsaws excessively (282 trades over 16 years) and bleeds returns through false signals. The 2% buffer variant actually makes things </w:t>
      </w:r>
      <w:r>
        <w:rPr>
          <w:i/>
        </w:rPr>
        <w:t>worse</w:t>
      </w:r>
      <w:r>
        <w:t xml:space="preserve"> than the plain SMA200 -- the buffer delays exits during genuine breakdowns, increasing drawdowns without meaningfully reducing whipsaws.</w:t>
      </w:r>
    </w:p>
    <w:p w14:paraId="302EE073" w14:textId="77777777" w:rsidR="00D504B6" w:rsidRDefault="00000000">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14:paraId="11656223" w14:textId="77777777" w:rsidR="00D504B6" w:rsidRDefault="00000000">
      <w:pPr>
        <w:jc w:val="center"/>
      </w:pPr>
      <w:r>
        <w:rPr>
          <w:noProof/>
        </w:rPr>
        <w:drawing>
          <wp:inline distT="0" distB="0" distL="0" distR="0" wp14:anchorId="2288A747" wp14:editId="6F8607F6">
            <wp:extent cx="5486400" cy="32674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ma_filter.png"/>
                    <pic:cNvPicPr/>
                  </pic:nvPicPr>
                  <pic:blipFill>
                    <a:blip r:embed="rId14"/>
                    <a:stretch>
                      <a:fillRect/>
                    </a:stretch>
                  </pic:blipFill>
                  <pic:spPr>
                    <a:xfrm>
                      <a:off x="0" y="0"/>
                      <a:ext cx="5486400" cy="3267431"/>
                    </a:xfrm>
                    <a:prstGeom prst="rect">
                      <a:avLst/>
                    </a:prstGeom>
                  </pic:spPr>
                </pic:pic>
              </a:graphicData>
            </a:graphic>
          </wp:inline>
        </w:drawing>
      </w:r>
    </w:p>
    <w:p w14:paraId="7972A1B1" w14:textId="77777777" w:rsidR="00D504B6" w:rsidRDefault="00D504B6"/>
    <w:p w14:paraId="3DB2005B" w14:textId="77777777" w:rsidR="00D504B6" w:rsidRDefault="00000000">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14:paraId="70C4830A" w14:textId="77777777" w:rsidR="00D504B6" w:rsidRDefault="00000000">
      <w:pPr>
        <w:pStyle w:val="Heading2"/>
      </w:pPr>
      <w:r>
        <w:t>Why 25% May Not Be Arbitrary</w:t>
      </w:r>
    </w:p>
    <w:p w14:paraId="3DE40A9F" w14:textId="77777777" w:rsidR="00D504B6" w:rsidRDefault="00000000">
      <w:r>
        <w:t>One potential concern is that 25% is simply a round number that happened to work on this dataset. But there's a structural reason it may be well-calibrated for a 3x instrument.</w:t>
      </w:r>
    </w:p>
    <w:p w14:paraId="7078567E" w14:textId="77777777" w:rsidR="00D504B6" w:rsidRDefault="00000000">
      <w:r>
        <w:t>Because UPRO magnifies SPY's moves by roughly 3x, a 25% UPRO drawdown typically corresponds to a high-single-digit or low-double-digit decline in SPY. To test this directly, I examined the SPY drawdown and VIX level on each of the 15 exit signal dates:</w:t>
      </w:r>
    </w:p>
    <w:tbl>
      <w:tblPr>
        <w:tblStyle w:val="LightGrid-Accent1"/>
        <w:tblW w:w="0" w:type="auto"/>
        <w:jc w:val="center"/>
        <w:tblLook w:val="04A0" w:firstRow="1" w:lastRow="0" w:firstColumn="1" w:lastColumn="0" w:noHBand="0" w:noVBand="1"/>
      </w:tblPr>
      <w:tblGrid>
        <w:gridCol w:w="2196"/>
        <w:gridCol w:w="2196"/>
        <w:gridCol w:w="2196"/>
        <w:gridCol w:w="2196"/>
      </w:tblGrid>
      <w:tr w:rsidR="00D504B6" w14:paraId="173D2A1E"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539B0CB8" w14:textId="77777777" w:rsidR="00D504B6" w:rsidRDefault="00000000">
            <w:pPr>
              <w:jc w:val="center"/>
            </w:pPr>
            <w:r>
              <w:rPr>
                <w:sz w:val="18"/>
              </w:rPr>
              <w:lastRenderedPageBreak/>
              <w:t>Exit Date</w:t>
            </w:r>
          </w:p>
        </w:tc>
        <w:tc>
          <w:tcPr>
            <w:tcW w:w="2196" w:type="dxa"/>
          </w:tcPr>
          <w:p w14:paraId="7E43CCE0"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UPRO DD</w:t>
            </w:r>
          </w:p>
        </w:tc>
        <w:tc>
          <w:tcPr>
            <w:tcW w:w="2196" w:type="dxa"/>
          </w:tcPr>
          <w:p w14:paraId="0A17AC02"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SPY DD</w:t>
            </w:r>
          </w:p>
        </w:tc>
        <w:tc>
          <w:tcPr>
            <w:tcW w:w="2196" w:type="dxa"/>
          </w:tcPr>
          <w:p w14:paraId="492E7B4E"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VIX</w:t>
            </w:r>
          </w:p>
        </w:tc>
      </w:tr>
      <w:tr w:rsidR="00D504B6" w14:paraId="48526778"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20857F04" w14:textId="77777777" w:rsidR="00D504B6" w:rsidRDefault="00000000">
            <w:r>
              <w:rPr>
                <w:sz w:val="18"/>
              </w:rPr>
              <w:t>May 2010</w:t>
            </w:r>
          </w:p>
        </w:tc>
        <w:tc>
          <w:tcPr>
            <w:tcW w:w="2196" w:type="dxa"/>
          </w:tcPr>
          <w:p w14:paraId="3C66862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-32.9%</w:t>
            </w:r>
          </w:p>
        </w:tc>
        <w:tc>
          <w:tcPr>
            <w:tcW w:w="2196" w:type="dxa"/>
          </w:tcPr>
          <w:p w14:paraId="443688B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-11.7%</w:t>
            </w:r>
          </w:p>
        </w:tc>
        <w:tc>
          <w:tcPr>
            <w:tcW w:w="2196" w:type="dxa"/>
          </w:tcPr>
          <w:p w14:paraId="7B27FE4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45.8</w:t>
            </w:r>
          </w:p>
        </w:tc>
      </w:tr>
      <w:tr w:rsidR="00D504B6" w14:paraId="5F0D816E"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1C584EAC" w14:textId="77777777" w:rsidR="00D504B6" w:rsidRDefault="00000000">
            <w:r>
              <w:rPr>
                <w:sz w:val="18"/>
              </w:rPr>
              <w:t>Aug 2011</w:t>
            </w:r>
          </w:p>
        </w:tc>
        <w:tc>
          <w:tcPr>
            <w:tcW w:w="2196" w:type="dxa"/>
          </w:tcPr>
          <w:p w14:paraId="02CEDB6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-32.7%</w:t>
            </w:r>
          </w:p>
        </w:tc>
        <w:tc>
          <w:tcPr>
            <w:tcW w:w="2196" w:type="dxa"/>
          </w:tcPr>
          <w:p w14:paraId="54C4AE4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-11.4%</w:t>
            </w:r>
          </w:p>
        </w:tc>
        <w:tc>
          <w:tcPr>
            <w:tcW w:w="2196" w:type="dxa"/>
          </w:tcPr>
          <w:p w14:paraId="185DBC4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31.7</w:t>
            </w:r>
          </w:p>
        </w:tc>
      </w:tr>
      <w:tr w:rsidR="00D504B6" w14:paraId="2A40B17B"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242B404A" w14:textId="77777777" w:rsidR="00D504B6" w:rsidRDefault="00000000">
            <w:r>
              <w:rPr>
                <w:sz w:val="18"/>
              </w:rPr>
              <w:t>Nov 2011</w:t>
            </w:r>
          </w:p>
        </w:tc>
        <w:tc>
          <w:tcPr>
            <w:tcW w:w="2196" w:type="dxa"/>
          </w:tcPr>
          <w:p w14:paraId="2A4E1CD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-27.0%</w:t>
            </w:r>
          </w:p>
        </w:tc>
        <w:tc>
          <w:tcPr>
            <w:tcW w:w="2196" w:type="dxa"/>
          </w:tcPr>
          <w:p w14:paraId="11B63D2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-13.7%</w:t>
            </w:r>
          </w:p>
        </w:tc>
        <w:tc>
          <w:tcPr>
            <w:tcW w:w="2196" w:type="dxa"/>
          </w:tcPr>
          <w:p w14:paraId="1754C61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34.0</w:t>
            </w:r>
          </w:p>
        </w:tc>
      </w:tr>
      <w:tr w:rsidR="00D504B6" w14:paraId="217AA059"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0EE593F4" w14:textId="77777777" w:rsidR="00D504B6" w:rsidRDefault="00000000">
            <w:r>
              <w:rPr>
                <w:sz w:val="18"/>
              </w:rPr>
              <w:t>Jun 2012</w:t>
            </w:r>
          </w:p>
        </w:tc>
        <w:tc>
          <w:tcPr>
            <w:tcW w:w="2196" w:type="dxa"/>
          </w:tcPr>
          <w:p w14:paraId="1869AA1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-27.2%</w:t>
            </w:r>
          </w:p>
        </w:tc>
        <w:tc>
          <w:tcPr>
            <w:tcW w:w="2196" w:type="dxa"/>
          </w:tcPr>
          <w:p w14:paraId="28AE316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-9.6%</w:t>
            </w:r>
          </w:p>
        </w:tc>
        <w:tc>
          <w:tcPr>
            <w:tcW w:w="2196" w:type="dxa"/>
          </w:tcPr>
          <w:p w14:paraId="3DA942F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26.7</w:t>
            </w:r>
          </w:p>
        </w:tc>
      </w:tr>
      <w:tr w:rsidR="00D504B6" w14:paraId="3B3A2146"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78664D05" w14:textId="77777777" w:rsidR="00D504B6" w:rsidRDefault="00000000">
            <w:r>
              <w:rPr>
                <w:sz w:val="18"/>
              </w:rPr>
              <w:t>Aug 2015</w:t>
            </w:r>
          </w:p>
        </w:tc>
        <w:tc>
          <w:tcPr>
            <w:tcW w:w="2196" w:type="dxa"/>
          </w:tcPr>
          <w:p w14:paraId="07A5BF1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-30.1%</w:t>
            </w:r>
          </w:p>
        </w:tc>
        <w:tc>
          <w:tcPr>
            <w:tcW w:w="2196" w:type="dxa"/>
          </w:tcPr>
          <w:p w14:paraId="7CA09C0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-10.9%</w:t>
            </w:r>
          </w:p>
        </w:tc>
        <w:tc>
          <w:tcPr>
            <w:tcW w:w="2196" w:type="dxa"/>
          </w:tcPr>
          <w:p w14:paraId="388E03F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40.7</w:t>
            </w:r>
          </w:p>
        </w:tc>
      </w:tr>
      <w:tr w:rsidR="00D504B6" w14:paraId="454E9401"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401B4369" w14:textId="77777777" w:rsidR="00D504B6" w:rsidRDefault="00000000">
            <w:r>
              <w:rPr>
                <w:sz w:val="18"/>
              </w:rPr>
              <w:t>Jan 2016</w:t>
            </w:r>
          </w:p>
        </w:tc>
        <w:tc>
          <w:tcPr>
            <w:tcW w:w="2196" w:type="dxa"/>
          </w:tcPr>
          <w:p w14:paraId="70F5E9D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-28.5%</w:t>
            </w:r>
          </w:p>
        </w:tc>
        <w:tc>
          <w:tcPr>
            <w:tcW w:w="2196" w:type="dxa"/>
          </w:tcPr>
          <w:p w14:paraId="251896A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-10.2%</w:t>
            </w:r>
          </w:p>
        </w:tc>
        <w:tc>
          <w:tcPr>
            <w:tcW w:w="2196" w:type="dxa"/>
          </w:tcPr>
          <w:p w14:paraId="3B584B5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25.2</w:t>
            </w:r>
          </w:p>
        </w:tc>
      </w:tr>
      <w:tr w:rsidR="00D504B6" w14:paraId="6107BB66"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7290D6EE" w14:textId="77777777" w:rsidR="00D504B6" w:rsidRDefault="00000000">
            <w:r>
              <w:rPr>
                <w:sz w:val="18"/>
              </w:rPr>
              <w:t>Feb 2018</w:t>
            </w:r>
          </w:p>
        </w:tc>
        <w:tc>
          <w:tcPr>
            <w:tcW w:w="2196" w:type="dxa"/>
          </w:tcPr>
          <w:p w14:paraId="3992703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-28.3%</w:t>
            </w:r>
          </w:p>
        </w:tc>
        <w:tc>
          <w:tcPr>
            <w:tcW w:w="2196" w:type="dxa"/>
          </w:tcPr>
          <w:p w14:paraId="41E8665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-10.1%</w:t>
            </w:r>
          </w:p>
        </w:tc>
        <w:tc>
          <w:tcPr>
            <w:tcW w:w="2196" w:type="dxa"/>
          </w:tcPr>
          <w:p w14:paraId="0BAC035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33.5</w:t>
            </w:r>
          </w:p>
        </w:tc>
      </w:tr>
      <w:tr w:rsidR="00D504B6" w14:paraId="42E7ED11"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00AD1FC2" w14:textId="77777777" w:rsidR="00D504B6" w:rsidRDefault="00000000">
            <w:r>
              <w:rPr>
                <w:sz w:val="18"/>
              </w:rPr>
              <w:t>Oct 2018</w:t>
            </w:r>
          </w:p>
        </w:tc>
        <w:tc>
          <w:tcPr>
            <w:tcW w:w="2196" w:type="dxa"/>
          </w:tcPr>
          <w:p w14:paraId="0CA817F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-26.5%</w:t>
            </w:r>
          </w:p>
        </w:tc>
        <w:tc>
          <w:tcPr>
            <w:tcW w:w="2196" w:type="dxa"/>
          </w:tcPr>
          <w:p w14:paraId="27AB307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-9.2%</w:t>
            </w:r>
          </w:p>
        </w:tc>
        <w:tc>
          <w:tcPr>
            <w:tcW w:w="2196" w:type="dxa"/>
          </w:tcPr>
          <w:p w14:paraId="6D6E7E1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25.2</w:t>
            </w:r>
          </w:p>
        </w:tc>
      </w:tr>
      <w:tr w:rsidR="00D504B6" w14:paraId="2CEF70D7"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567E89F4" w14:textId="77777777" w:rsidR="00D504B6" w:rsidRDefault="00000000">
            <w:r>
              <w:rPr>
                <w:sz w:val="18"/>
              </w:rPr>
              <w:t>Feb 2020</w:t>
            </w:r>
          </w:p>
        </w:tc>
        <w:tc>
          <w:tcPr>
            <w:tcW w:w="2196" w:type="dxa"/>
          </w:tcPr>
          <w:p w14:paraId="4F7F3B3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-33.1%</w:t>
            </w:r>
          </w:p>
        </w:tc>
        <w:tc>
          <w:tcPr>
            <w:tcW w:w="2196" w:type="dxa"/>
          </w:tcPr>
          <w:p w14:paraId="5F109F0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-12.1%</w:t>
            </w:r>
          </w:p>
        </w:tc>
        <w:tc>
          <w:tcPr>
            <w:tcW w:w="2196" w:type="dxa"/>
          </w:tcPr>
          <w:p w14:paraId="1BB2944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39.2</w:t>
            </w:r>
          </w:p>
        </w:tc>
      </w:tr>
      <w:tr w:rsidR="00D504B6" w14:paraId="0319C115"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78C8A40C" w14:textId="77777777" w:rsidR="00D504B6" w:rsidRDefault="00000000">
            <w:r>
              <w:rPr>
                <w:sz w:val="18"/>
              </w:rPr>
              <w:t>Sep 2020</w:t>
            </w:r>
          </w:p>
        </w:tc>
        <w:tc>
          <w:tcPr>
            <w:tcW w:w="2196" w:type="dxa"/>
          </w:tcPr>
          <w:p w14:paraId="444A463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-26.7%</w:t>
            </w:r>
          </w:p>
        </w:tc>
        <w:tc>
          <w:tcPr>
            <w:tcW w:w="2196" w:type="dxa"/>
          </w:tcPr>
          <w:p w14:paraId="7073739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-9.4%</w:t>
            </w:r>
          </w:p>
        </w:tc>
        <w:tc>
          <w:tcPr>
            <w:tcW w:w="2196" w:type="dxa"/>
          </w:tcPr>
          <w:p w14:paraId="1825F44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28.6</w:t>
            </w:r>
          </w:p>
        </w:tc>
      </w:tr>
      <w:tr w:rsidR="00D504B6" w14:paraId="3EEC3552"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0E110252" w14:textId="77777777" w:rsidR="00D504B6" w:rsidRDefault="00000000">
            <w:r>
              <w:rPr>
                <w:sz w:val="18"/>
              </w:rPr>
              <w:t>Jan 2022</w:t>
            </w:r>
          </w:p>
        </w:tc>
        <w:tc>
          <w:tcPr>
            <w:tcW w:w="2196" w:type="dxa"/>
          </w:tcPr>
          <w:p w14:paraId="3D92C667"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2196" w:type="dxa"/>
          </w:tcPr>
          <w:p w14:paraId="42D23A4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-9.1%</w:t>
            </w:r>
          </w:p>
        </w:tc>
        <w:tc>
          <w:tcPr>
            <w:tcW w:w="2196" w:type="dxa"/>
          </w:tcPr>
          <w:p w14:paraId="1611AB7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31.2</w:t>
            </w:r>
          </w:p>
        </w:tc>
      </w:tr>
      <w:tr w:rsidR="00D504B6" w14:paraId="21AF18BF"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06C66801" w14:textId="77777777" w:rsidR="00D504B6" w:rsidRDefault="00000000">
            <w:r>
              <w:rPr>
                <w:sz w:val="18"/>
              </w:rPr>
              <w:t>Apr 2022</w:t>
            </w:r>
          </w:p>
        </w:tc>
        <w:tc>
          <w:tcPr>
            <w:tcW w:w="2196" w:type="dxa"/>
          </w:tcPr>
          <w:p w14:paraId="0490A058"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-27.6%</w:t>
            </w:r>
          </w:p>
        </w:tc>
        <w:tc>
          <w:tcPr>
            <w:tcW w:w="2196" w:type="dxa"/>
          </w:tcPr>
          <w:p w14:paraId="3B64095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-12.6%</w:t>
            </w:r>
          </w:p>
        </w:tc>
        <w:tc>
          <w:tcPr>
            <w:tcW w:w="2196" w:type="dxa"/>
          </w:tcPr>
          <w:p w14:paraId="07C813DF"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33.5</w:t>
            </w:r>
          </w:p>
        </w:tc>
      </w:tr>
      <w:tr w:rsidR="00D504B6" w14:paraId="3B0B00AF"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55551CD8" w14:textId="77777777" w:rsidR="00D504B6" w:rsidRDefault="00000000">
            <w:r>
              <w:rPr>
                <w:sz w:val="18"/>
              </w:rPr>
              <w:t>Sep 2022</w:t>
            </w:r>
          </w:p>
        </w:tc>
        <w:tc>
          <w:tcPr>
            <w:tcW w:w="2196" w:type="dxa"/>
          </w:tcPr>
          <w:p w14:paraId="3D4072E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-25.7%</w:t>
            </w:r>
          </w:p>
        </w:tc>
        <w:tc>
          <w:tcPr>
            <w:tcW w:w="2196" w:type="dxa"/>
          </w:tcPr>
          <w:p w14:paraId="6C85832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-17.6%</w:t>
            </w:r>
          </w:p>
        </w:tc>
        <w:tc>
          <w:tcPr>
            <w:tcW w:w="2196" w:type="dxa"/>
          </w:tcPr>
          <w:p w14:paraId="59054A9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26.9</w:t>
            </w:r>
          </w:p>
        </w:tc>
      </w:tr>
      <w:tr w:rsidR="00D504B6" w14:paraId="47668CAF"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30260926" w14:textId="77777777" w:rsidR="00D504B6" w:rsidRDefault="00000000">
            <w:r>
              <w:rPr>
                <w:sz w:val="18"/>
              </w:rPr>
              <w:t>Oct 2023</w:t>
            </w:r>
          </w:p>
        </w:tc>
        <w:tc>
          <w:tcPr>
            <w:tcW w:w="2196" w:type="dxa"/>
          </w:tcPr>
          <w:p w14:paraId="3E39CCE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-26.5%</w:t>
            </w:r>
          </w:p>
        </w:tc>
        <w:tc>
          <w:tcPr>
            <w:tcW w:w="2196" w:type="dxa"/>
          </w:tcPr>
          <w:p w14:paraId="4A76621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-10.2%</w:t>
            </w:r>
          </w:p>
        </w:tc>
        <w:tc>
          <w:tcPr>
            <w:tcW w:w="2196" w:type="dxa"/>
          </w:tcPr>
          <w:p w14:paraId="3A9D80E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w:t>
            </w:r>
          </w:p>
        </w:tc>
      </w:tr>
      <w:tr w:rsidR="00D504B6" w14:paraId="1AAD322D"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96" w:type="dxa"/>
          </w:tcPr>
          <w:p w14:paraId="442FF7F5" w14:textId="77777777" w:rsidR="00D504B6" w:rsidRDefault="00000000">
            <w:r>
              <w:rPr>
                <w:sz w:val="18"/>
              </w:rPr>
              <w:t>Mar 2025</w:t>
            </w:r>
          </w:p>
        </w:tc>
        <w:tc>
          <w:tcPr>
            <w:tcW w:w="2196" w:type="dxa"/>
          </w:tcPr>
          <w:p w14:paraId="7F48386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-26.4%</w:t>
            </w:r>
          </w:p>
        </w:tc>
        <w:tc>
          <w:tcPr>
            <w:tcW w:w="2196" w:type="dxa"/>
          </w:tcPr>
          <w:p w14:paraId="10A9F0A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-9.3%</w:t>
            </w:r>
          </w:p>
        </w:tc>
        <w:tc>
          <w:tcPr>
            <w:tcW w:w="2196" w:type="dxa"/>
          </w:tcPr>
          <w:p w14:paraId="62816FD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26.9</w:t>
            </w:r>
          </w:p>
        </w:tc>
      </w:tr>
    </w:tbl>
    <w:p w14:paraId="016AA75E" w14:textId="77777777" w:rsidR="00D504B6" w:rsidRDefault="00D504B6"/>
    <w:p w14:paraId="73A36B68" w14:textId="77777777" w:rsidR="00D504B6" w:rsidRDefault="00000000">
      <w:r>
        <w:t>The pattern is striking. Across all 15 exits, the median SPY drawdown was -10.2% and the median VIX was 31.2. SPY drawdowns ranged from -9.1% to -17.6%; VIX ranged from 20.2 to 45.8. Every exit occurred during conditions that would be recognized as market stress -- not ordinary pullbacks.</w:t>
      </w:r>
    </w:p>
    <w:p w14:paraId="5F5C5FB4" w14:textId="77777777" w:rsidR="00D504B6" w:rsidRDefault="00000000">
      <w:r>
        <w:t>This is roughly the range where ordinary corrections begin to evolve into true stress regimes marked by elevated volatility, forced deleveraging, and unstable price action. Think of it as three zones: below 15% UPRO drawdown is normal leveraged noise; 20-30% is the unstable-correction zone where stress may be building; above 40% is a full bear market already underway. The 25% trigger sits right in the middle of the transition zone.</w:t>
      </w:r>
    </w:p>
    <w:p w14:paraId="75D0698F" w14:textId="77777777" w:rsidR="00D504B6" w:rsidRDefault="00000000">
      <w:r>
        <w:t>The cooling period complements this. After a volatility regime shift, the probability of continued violent price action remains elevated for weeks -- a well-documented empirical phenomenon known as volatility clustering. The 40-day waiting period is a crude but effective way of staying out until that turbulence subsides.</w:t>
      </w:r>
    </w:p>
    <w:p w14:paraId="576E85BD" w14:textId="77777777" w:rsidR="00D504B6" w:rsidRDefault="00000000">
      <w:r>
        <w:t>This framing also explains why the rule works better on UPRO than it would on SPY. If you applied a 25% exit to SPY itself, you would exit far too late -- by the time SPY is down 25%, the damage is already severe. But UPRO's leverage amplifies stress signals, making them visible earlier in the price path.</w:t>
      </w:r>
    </w:p>
    <w:p w14:paraId="460D87FD" w14:textId="77777777" w:rsidR="00D504B6" w:rsidRDefault="00000000">
      <w:pPr>
        <w:pStyle w:val="Heading2"/>
      </w:pPr>
      <w:r>
        <w:lastRenderedPageBreak/>
        <w:t>Block Bootstrap Robustness Test</w:t>
      </w:r>
    </w:p>
    <w:p w14:paraId="1026D712" w14:textId="77777777" w:rsidR="00D504B6" w:rsidRDefault="00000000">
      <w:r>
        <w:t xml:space="preserve">The tests above examine whether the strategy works across different parameters and time periods. But a deeper question is: does the strategy's edge depend on the specific </w:t>
      </w:r>
      <w:r>
        <w:rPr>
          <w:i/>
        </w:rPr>
        <w:t>sequence</w:t>
      </w:r>
      <w:r>
        <w:t xml:space="preserve"> of historical events?</w:t>
      </w:r>
    </w:p>
    <w:p w14:paraId="3D157F11" w14:textId="77777777" w:rsidR="00D504B6" w:rsidRDefault="00000000">
      <w:r>
        <w:t>To test this, I ran a block bootstrap simulation. The daily return series was divided into overlapping 20-day blocks, preserving volatility clustering and short-term market dynamics within each block. These blocks were randomly reordered 1,000 times to generate alternative market histories with the same statistical properties as the original data. Unlike a simple Monte Carlo shuffle (which destroys autocorrelation), block bootstrap preserves the multi-day crash sequences and recovery patterns that the strategy responds to.</w:t>
      </w:r>
    </w:p>
    <w:p w14:paraId="7CB88B7C" w14:textId="77777777" w:rsidR="00D504B6" w:rsidRDefault="00000000">
      <w:r>
        <w:t>The result: the drawdown exit strategy produced a higher Sharpe ratio than buy-and-hold in only 36% of simulated paths, with a median Sharpe improvement of -0.05. This is the most important finding in the entire analysis. It means the strategy's Sharpe advantage over buy-and-hold is not a general property of the return distribution -- it is regime-conditional, dependent on the specific sequencing of bull runs followed by sharp crashes that characterized 2009-2026. In randomly reordered histories, the advantage usually disappears.</w:t>
      </w:r>
    </w:p>
    <w:p w14:paraId="4ECC0BDB" w14:textId="77777777" w:rsidR="00D504B6" w:rsidRDefault="00000000">
      <w:r>
        <w:t>This is an approximate regime test, not a precise replication of the production backtest -- the bootstrap uses a simplified close-only model and average risk-free carry rather than date-specific rates. But the directional conclusion is clear: the Sharpe edge is materially path-dependent.</w:t>
      </w:r>
    </w:p>
    <w:p w14:paraId="04EFBB7C" w14:textId="77777777" w:rsidR="00D504B6" w:rsidRDefault="00000000">
      <w:r>
        <w:t xml:space="preserve">That does not mean the strategy is useless. Real markets </w:t>
      </w:r>
      <w:r>
        <w:rPr>
          <w:i/>
        </w:rPr>
        <w:t>do</w:t>
      </w:r>
      <w:r>
        <w:t xml:space="preserve"> exhibit the volatility clustering, momentum, and mean-reversion patterns that the drawdown rule responds to. The exit diagnostic table above confirms that the 25% trigger identifies genuine stress episodes in actual market history. But the honest conclusion is that the strategy is a useful practical overlay for regimes resembling recent history -- trending markets with occasional sharp corrections -- not evidence of a regime-invariant alpha source. In a market with fundamentally different dynamics (extended sideways chop, a multi-year grinding bear), the edge may shrink or disappear entirely.</w:t>
      </w:r>
    </w:p>
    <w:p w14:paraId="7BF83F3D" w14:textId="77777777" w:rsidR="00D504B6" w:rsidRDefault="00000000">
      <w:pPr>
        <w:jc w:val="center"/>
      </w:pPr>
      <w:r>
        <w:rPr>
          <w:noProof/>
        </w:rPr>
        <w:drawing>
          <wp:inline distT="0" distB="0" distL="0" distR="0" wp14:anchorId="03EC58EA" wp14:editId="1D1BB5E4">
            <wp:extent cx="5486400" cy="22521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bootstrap.png"/>
                    <pic:cNvPicPr/>
                  </pic:nvPicPr>
                  <pic:blipFill>
                    <a:blip r:embed="rId15"/>
                    <a:stretch>
                      <a:fillRect/>
                    </a:stretch>
                  </pic:blipFill>
                  <pic:spPr>
                    <a:xfrm>
                      <a:off x="0" y="0"/>
                      <a:ext cx="5486400" cy="2252190"/>
                    </a:xfrm>
                    <a:prstGeom prst="rect">
                      <a:avLst/>
                    </a:prstGeom>
                  </pic:spPr>
                </pic:pic>
              </a:graphicData>
            </a:graphic>
          </wp:inline>
        </w:drawing>
      </w:r>
    </w:p>
    <w:p w14:paraId="7D9EF407" w14:textId="77777777" w:rsidR="00D504B6" w:rsidRDefault="00D504B6"/>
    <w:p w14:paraId="5604ADE6" w14:textId="77777777" w:rsidR="00D504B6" w:rsidRDefault="00000000">
      <w:pPr>
        <w:pStyle w:val="Heading2"/>
      </w:pPr>
      <w:r>
        <w:lastRenderedPageBreak/>
        <w:t>Volatility-Normalized Drawdown Rule</w:t>
      </w:r>
    </w:p>
    <w:p w14:paraId="0C90260D" w14:textId="77777777" w:rsidR="00D504B6" w:rsidRDefault="00000000">
      <w:r>
        <w:t>A natural question: if the 25% threshold works because it detects volatility regimes, shouldn't a volatility-normalized version work even better? To test this, I implemented a generalized version: exit when the drawdown exceeds k times UPRO's 20-day realized volatility.</w:t>
      </w:r>
    </w:p>
    <w:tbl>
      <w:tblPr>
        <w:tblStyle w:val="LightGrid-Accent1"/>
        <w:tblW w:w="0" w:type="auto"/>
        <w:jc w:val="center"/>
        <w:tblLook w:val="04A0" w:firstRow="1" w:lastRow="0" w:firstColumn="1" w:lastColumn="0" w:noHBand="0" w:noVBand="1"/>
      </w:tblPr>
      <w:tblGrid>
        <w:gridCol w:w="1464"/>
        <w:gridCol w:w="1464"/>
        <w:gridCol w:w="1464"/>
        <w:gridCol w:w="1464"/>
        <w:gridCol w:w="1464"/>
        <w:gridCol w:w="1464"/>
      </w:tblGrid>
      <w:tr w:rsidR="00D504B6" w14:paraId="3CCBA53A"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11107DDE" w14:textId="77777777" w:rsidR="00D504B6" w:rsidRDefault="00000000">
            <w:pPr>
              <w:jc w:val="center"/>
            </w:pPr>
            <w:r>
              <w:rPr>
                <w:sz w:val="18"/>
              </w:rPr>
              <w:t>Variant</w:t>
            </w:r>
          </w:p>
        </w:tc>
        <w:tc>
          <w:tcPr>
            <w:tcW w:w="1464" w:type="dxa"/>
          </w:tcPr>
          <w:p w14:paraId="40B96984"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End Value</w:t>
            </w:r>
          </w:p>
        </w:tc>
        <w:tc>
          <w:tcPr>
            <w:tcW w:w="1464" w:type="dxa"/>
          </w:tcPr>
          <w:p w14:paraId="2411CBD0"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CAGR</w:t>
            </w:r>
          </w:p>
        </w:tc>
        <w:tc>
          <w:tcPr>
            <w:tcW w:w="1464" w:type="dxa"/>
          </w:tcPr>
          <w:p w14:paraId="59C4C2C0"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Sharpe</w:t>
            </w:r>
          </w:p>
        </w:tc>
        <w:tc>
          <w:tcPr>
            <w:tcW w:w="1464" w:type="dxa"/>
          </w:tcPr>
          <w:p w14:paraId="6C7037EF"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Max DD</w:t>
            </w:r>
          </w:p>
        </w:tc>
        <w:tc>
          <w:tcPr>
            <w:tcW w:w="1464" w:type="dxa"/>
          </w:tcPr>
          <w:p w14:paraId="281EB327"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Trades</w:t>
            </w:r>
          </w:p>
        </w:tc>
      </w:tr>
      <w:tr w:rsidR="00D504B6" w14:paraId="26347C3E"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6B8E758A" w14:textId="77777777" w:rsidR="00D504B6" w:rsidRDefault="00000000">
            <w:r>
              <w:rPr>
                <w:sz w:val="18"/>
              </w:rPr>
              <w:t>DD25%/Cool40 (fixed)</w:t>
            </w:r>
          </w:p>
        </w:tc>
        <w:tc>
          <w:tcPr>
            <w:tcW w:w="1464" w:type="dxa"/>
          </w:tcPr>
          <w:p w14:paraId="5340164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$8.4M</w:t>
            </w:r>
          </w:p>
        </w:tc>
        <w:tc>
          <w:tcPr>
            <w:tcW w:w="1464" w:type="dxa"/>
          </w:tcPr>
          <w:p w14:paraId="5CA4B32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+30.5%</w:t>
            </w:r>
          </w:p>
        </w:tc>
        <w:tc>
          <w:tcPr>
            <w:tcW w:w="1464" w:type="dxa"/>
          </w:tcPr>
          <w:p w14:paraId="357AEDC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0.85</w:t>
            </w:r>
          </w:p>
        </w:tc>
        <w:tc>
          <w:tcPr>
            <w:tcW w:w="1464" w:type="dxa"/>
          </w:tcPr>
          <w:p w14:paraId="48011E7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-41.8%</w:t>
            </w:r>
          </w:p>
        </w:tc>
        <w:tc>
          <w:tcPr>
            <w:tcW w:w="1464" w:type="dxa"/>
          </w:tcPr>
          <w:p w14:paraId="6DF9E0D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b/>
                <w:sz w:val="18"/>
              </w:rPr>
              <w:t>31</w:t>
            </w:r>
          </w:p>
        </w:tc>
      </w:tr>
      <w:tr w:rsidR="00D504B6" w14:paraId="2557AD11"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468F1709" w14:textId="77777777" w:rsidR="00D504B6" w:rsidRDefault="00000000">
            <w:r>
              <w:rPr>
                <w:sz w:val="18"/>
              </w:rPr>
              <w:t>VolNorm k=4</w:t>
            </w:r>
          </w:p>
        </w:tc>
        <w:tc>
          <w:tcPr>
            <w:tcW w:w="1464" w:type="dxa"/>
          </w:tcPr>
          <w:p w14:paraId="7A739D2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$1.4M</w:t>
            </w:r>
          </w:p>
        </w:tc>
        <w:tc>
          <w:tcPr>
            <w:tcW w:w="1464" w:type="dxa"/>
          </w:tcPr>
          <w:p w14:paraId="40615FD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+17.0%</w:t>
            </w:r>
          </w:p>
        </w:tc>
        <w:tc>
          <w:tcPr>
            <w:tcW w:w="1464" w:type="dxa"/>
          </w:tcPr>
          <w:p w14:paraId="72A6F0F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0.62</w:t>
            </w:r>
          </w:p>
        </w:tc>
        <w:tc>
          <w:tcPr>
            <w:tcW w:w="1464" w:type="dxa"/>
          </w:tcPr>
          <w:p w14:paraId="0976BAC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-56.7%</w:t>
            </w:r>
          </w:p>
        </w:tc>
        <w:tc>
          <w:tcPr>
            <w:tcW w:w="1464" w:type="dxa"/>
          </w:tcPr>
          <w:p w14:paraId="2AE81AC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130</w:t>
            </w:r>
          </w:p>
        </w:tc>
      </w:tr>
      <w:tr w:rsidR="00D504B6" w14:paraId="2B10D73C"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2F97332D" w14:textId="77777777" w:rsidR="00D504B6" w:rsidRDefault="00000000">
            <w:r>
              <w:rPr>
                <w:sz w:val="18"/>
              </w:rPr>
              <w:t>VolNorm k=5</w:t>
            </w:r>
          </w:p>
        </w:tc>
        <w:tc>
          <w:tcPr>
            <w:tcW w:w="1464" w:type="dxa"/>
          </w:tcPr>
          <w:p w14:paraId="5693228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$2.0M</w:t>
            </w:r>
          </w:p>
        </w:tc>
        <w:tc>
          <w:tcPr>
            <w:tcW w:w="1464" w:type="dxa"/>
          </w:tcPr>
          <w:p w14:paraId="65A1A04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+19.6%</w:t>
            </w:r>
          </w:p>
        </w:tc>
        <w:tc>
          <w:tcPr>
            <w:tcW w:w="1464" w:type="dxa"/>
          </w:tcPr>
          <w:p w14:paraId="048F16A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0.67</w:t>
            </w:r>
          </w:p>
        </w:tc>
        <w:tc>
          <w:tcPr>
            <w:tcW w:w="1464" w:type="dxa"/>
          </w:tcPr>
          <w:p w14:paraId="006470A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-47.6%</w:t>
            </w:r>
          </w:p>
        </w:tc>
        <w:tc>
          <w:tcPr>
            <w:tcW w:w="1464" w:type="dxa"/>
          </w:tcPr>
          <w:p w14:paraId="2842F07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87</w:t>
            </w:r>
          </w:p>
        </w:tc>
      </w:tr>
      <w:tr w:rsidR="00D504B6" w14:paraId="1D71653F"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401DE945" w14:textId="77777777" w:rsidR="00D504B6" w:rsidRDefault="00000000">
            <w:r>
              <w:rPr>
                <w:sz w:val="18"/>
              </w:rPr>
              <w:t>VolNorm k=6</w:t>
            </w:r>
          </w:p>
        </w:tc>
        <w:tc>
          <w:tcPr>
            <w:tcW w:w="1464" w:type="dxa"/>
          </w:tcPr>
          <w:p w14:paraId="568AD90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$1.1M</w:t>
            </w:r>
          </w:p>
        </w:tc>
        <w:tc>
          <w:tcPr>
            <w:tcW w:w="1464" w:type="dxa"/>
          </w:tcPr>
          <w:p w14:paraId="27B5B18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+15.5%</w:t>
            </w:r>
          </w:p>
        </w:tc>
        <w:tc>
          <w:tcPr>
            <w:tcW w:w="1464" w:type="dxa"/>
          </w:tcPr>
          <w:p w14:paraId="0068277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0.55</w:t>
            </w:r>
          </w:p>
        </w:tc>
        <w:tc>
          <w:tcPr>
            <w:tcW w:w="1464" w:type="dxa"/>
          </w:tcPr>
          <w:p w14:paraId="36BDD1A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-54.1%</w:t>
            </w:r>
          </w:p>
        </w:tc>
        <w:tc>
          <w:tcPr>
            <w:tcW w:w="1464" w:type="dxa"/>
          </w:tcPr>
          <w:p w14:paraId="2B209E9B"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71</w:t>
            </w:r>
          </w:p>
        </w:tc>
      </w:tr>
      <w:tr w:rsidR="00D504B6" w14:paraId="156E3C8A"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4" w:type="dxa"/>
          </w:tcPr>
          <w:p w14:paraId="2245D990" w14:textId="77777777" w:rsidR="00D504B6" w:rsidRDefault="00000000">
            <w:r>
              <w:rPr>
                <w:sz w:val="18"/>
              </w:rPr>
              <w:t>VolNorm k=7</w:t>
            </w:r>
          </w:p>
        </w:tc>
        <w:tc>
          <w:tcPr>
            <w:tcW w:w="1464" w:type="dxa"/>
          </w:tcPr>
          <w:p w14:paraId="6CB81B3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$3.4M</w:t>
            </w:r>
          </w:p>
        </w:tc>
        <w:tc>
          <w:tcPr>
            <w:tcW w:w="1464" w:type="dxa"/>
          </w:tcPr>
          <w:p w14:paraId="6DF8E5C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+23.9%</w:t>
            </w:r>
          </w:p>
        </w:tc>
        <w:tc>
          <w:tcPr>
            <w:tcW w:w="1464" w:type="dxa"/>
          </w:tcPr>
          <w:p w14:paraId="009399DA"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0.71</w:t>
            </w:r>
          </w:p>
        </w:tc>
        <w:tc>
          <w:tcPr>
            <w:tcW w:w="1464" w:type="dxa"/>
          </w:tcPr>
          <w:p w14:paraId="3981E73C"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-57.3%</w:t>
            </w:r>
          </w:p>
        </w:tc>
        <w:tc>
          <w:tcPr>
            <w:tcW w:w="1464" w:type="dxa"/>
          </w:tcPr>
          <w:p w14:paraId="4790B4A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43</w:t>
            </w:r>
          </w:p>
        </w:tc>
      </w:tr>
    </w:tbl>
    <w:p w14:paraId="41152884" w14:textId="77777777" w:rsidR="00D504B6" w:rsidRDefault="00D504B6"/>
    <w:p w14:paraId="63C01423" w14:textId="77777777" w:rsidR="00D504B6" w:rsidRDefault="00000000">
      <w:r>
        <w:t>The volatility-normalized variants all underperform the fixed 25% rule. The best (k=7) achieves a 0.71 Sharpe with more trades (43 vs. 31). This is a failed generalization test: the theoretically "smarter" adaptive threshold does not improve on the simple fixed rule over this period. The likely explanation is practical rather than deep -- a constant threshold produces fewer false signals during calm periods (when rolling volatility is low and the normalized threshold would be too tight) and remains effective during crises (when volatility spikes and the normalized threshold would be too loose). The result increases confidence that 25% is a practically useful threshold for UPRO, but it does not demonstrate that the number has any structural optimality beyond being well-matched to UPRO's realized volatility during 2009-2026.</w:t>
      </w:r>
    </w:p>
    <w:p w14:paraId="5AD167CB" w14:textId="77777777" w:rsidR="00D504B6" w:rsidRDefault="00000000">
      <w:pPr>
        <w:pStyle w:val="Heading2"/>
      </w:pPr>
      <w:r>
        <w:t>VIX-Gated Re-Entry</w:t>
      </w:r>
    </w:p>
    <w:p w14:paraId="2E87B1DC" w14:textId="77777777" w:rsidR="00D504B6" w:rsidRDefault="00000000">
      <w:r>
        <w:t>Another natural refinement: instead of unconditionally re-entering after the 40-day cooling period, require the VIX to drop below a threshold (e.g., 25 or 30) before re-entering. The intuition is appealing -- don't buy back into a still-volatile market. I tested several combinations of shortened cooling periods (10 and 20 days) with VIX gates (25 and 30), as well as the full 40-day cooling period with a VIX gate. All variants underperformed the baseline DD25%/Cool40 on both terminal wealth and Sharpe ratio. The reason: VIX tends to stay elevated precisely during the sharp recovery rallies that drive most of the strategy's re-entry gains. Waiting for VIX to normalize means missing those recoveries and frequently whipsawing into a worse entry point. The unconditional 40-day cooling period, despite its simplicity, outperforms the "smarter" VIX-gated alternatives.</w:t>
      </w:r>
    </w:p>
    <w:p w14:paraId="26BF19F8" w14:textId="77777777" w:rsidR="00D504B6" w:rsidRDefault="00000000">
      <w:pPr>
        <w:pStyle w:val="Heading1"/>
      </w:pPr>
      <w:r>
        <w:t>What to Do With Idle Cash: T-Bills vs. Bonds</w:t>
      </w:r>
    </w:p>
    <w:p w14:paraId="0C53F8CB" w14:textId="77777777" w:rsidR="00D504B6" w:rsidRDefault="00000000">
      <w:r>
        <w:t xml:space="preserve">So far, the DD25%/Cool40 strategy parks cash in T-bills during cooling periods -- safe, boring, and earning whatever the prevailing short-term rate is. But cooling periods tend to coincide with stock </w:t>
      </w:r>
      <w:r>
        <w:lastRenderedPageBreak/>
        <w:t>market stress, which is exactly when long-term Treasuries rally (flight to quality). Can you exploit that?</w:t>
      </w:r>
    </w:p>
    <w:p w14:paraId="0C7C31FB" w14:textId="77777777" w:rsidR="00D504B6" w:rsidRDefault="00000000">
      <w:r>
        <w:t>I tested three cash vehicles during the cooling periods:</w:t>
      </w:r>
    </w:p>
    <w:p w14:paraId="1396206F" w14:textId="77777777" w:rsidR="00D504B6" w:rsidRDefault="00000000">
      <w:pPr>
        <w:pStyle w:val="ListNumber"/>
      </w:pPr>
      <w:r>
        <w:rPr>
          <w:b/>
        </w:rPr>
        <w:t>T-bills</w:t>
      </w:r>
      <w:r>
        <w:t xml:space="preserve"> (baseline): earn the 13-week T-bill rate, compounded daily. No price risk.</w:t>
      </w:r>
    </w:p>
    <w:p w14:paraId="01670949" w14:textId="77777777" w:rsidR="00D504B6" w:rsidRDefault="00000000">
      <w:pPr>
        <w:pStyle w:val="ListNumber"/>
      </w:pPr>
      <w:r>
        <w:rPr>
          <w:b/>
        </w:rPr>
        <w:t>TLT</w:t>
      </w:r>
      <w:r>
        <w:t xml:space="preserve"> (iShares 20+ Year Treasury Bond ETF): buy TLT at the open when exiting UPRO, sell TLT at the open when re-entering UPRO. Unlevered long-term bonds.</w:t>
      </w:r>
    </w:p>
    <w:p w14:paraId="68DBE985" w14:textId="77777777" w:rsidR="00D504B6" w:rsidRDefault="00000000">
      <w:pPr>
        <w:pStyle w:val="ListNumber"/>
      </w:pPr>
      <w:r>
        <w:rPr>
          <w:b/>
        </w:rPr>
        <w:t>TMF</w:t>
      </w:r>
      <w:r>
        <w:t xml:space="preserve"> (Direxion Daily 20+ Year Treasury Bull 3X): same as TLT but 3x leveraged. Maximum flight-to-quality exposure.</w:t>
      </w:r>
    </w:p>
    <w:tbl>
      <w:tblPr>
        <w:tblStyle w:val="LightGrid-Accent1"/>
        <w:tblW w:w="0" w:type="auto"/>
        <w:jc w:val="center"/>
        <w:tblLook w:val="04A0" w:firstRow="1" w:lastRow="0" w:firstColumn="1" w:lastColumn="0" w:noHBand="0" w:noVBand="1"/>
      </w:tblPr>
      <w:tblGrid>
        <w:gridCol w:w="1255"/>
        <w:gridCol w:w="1255"/>
        <w:gridCol w:w="1255"/>
        <w:gridCol w:w="1255"/>
        <w:gridCol w:w="1255"/>
        <w:gridCol w:w="1255"/>
        <w:gridCol w:w="1255"/>
      </w:tblGrid>
      <w:tr w:rsidR="00D504B6" w14:paraId="088A74E3"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579A6F67" w14:textId="77777777" w:rsidR="00D504B6" w:rsidRDefault="00000000">
            <w:pPr>
              <w:jc w:val="center"/>
            </w:pPr>
            <w:r>
              <w:rPr>
                <w:sz w:val="18"/>
              </w:rPr>
              <w:t>Cash Vehicle</w:t>
            </w:r>
          </w:p>
        </w:tc>
        <w:tc>
          <w:tcPr>
            <w:tcW w:w="1255" w:type="dxa"/>
          </w:tcPr>
          <w:p w14:paraId="5AB0B0C9"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End Value</w:t>
            </w:r>
          </w:p>
        </w:tc>
        <w:tc>
          <w:tcPr>
            <w:tcW w:w="1255" w:type="dxa"/>
          </w:tcPr>
          <w:p w14:paraId="477AFE37"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CAGR</w:t>
            </w:r>
          </w:p>
        </w:tc>
        <w:tc>
          <w:tcPr>
            <w:tcW w:w="1255" w:type="dxa"/>
          </w:tcPr>
          <w:p w14:paraId="54774CBC"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Sharpe</w:t>
            </w:r>
          </w:p>
        </w:tc>
        <w:tc>
          <w:tcPr>
            <w:tcW w:w="1255" w:type="dxa"/>
          </w:tcPr>
          <w:p w14:paraId="7FC7B072"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Sortino</w:t>
            </w:r>
          </w:p>
        </w:tc>
        <w:tc>
          <w:tcPr>
            <w:tcW w:w="1255" w:type="dxa"/>
          </w:tcPr>
          <w:p w14:paraId="2AC8F1B0"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Max DD</w:t>
            </w:r>
          </w:p>
        </w:tc>
        <w:tc>
          <w:tcPr>
            <w:tcW w:w="1255" w:type="dxa"/>
          </w:tcPr>
          <w:p w14:paraId="79ECB28B"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Calmar</w:t>
            </w:r>
          </w:p>
        </w:tc>
      </w:tr>
      <w:tr w:rsidR="00D504B6" w14:paraId="69C2A339"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42B2DBA4" w14:textId="77777777" w:rsidR="00D504B6" w:rsidRDefault="00000000">
            <w:r>
              <w:rPr>
                <w:sz w:val="18"/>
              </w:rPr>
              <w:t>T-bills</w:t>
            </w:r>
          </w:p>
        </w:tc>
        <w:tc>
          <w:tcPr>
            <w:tcW w:w="1255" w:type="dxa"/>
          </w:tcPr>
          <w:p w14:paraId="62A0FEB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$8.4M</w:t>
            </w:r>
          </w:p>
        </w:tc>
        <w:tc>
          <w:tcPr>
            <w:tcW w:w="1255" w:type="dxa"/>
          </w:tcPr>
          <w:p w14:paraId="5559828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+30.5%</w:t>
            </w:r>
          </w:p>
        </w:tc>
        <w:tc>
          <w:tcPr>
            <w:tcW w:w="1255" w:type="dxa"/>
          </w:tcPr>
          <w:p w14:paraId="65F18E7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0.85</w:t>
            </w:r>
          </w:p>
        </w:tc>
        <w:tc>
          <w:tcPr>
            <w:tcW w:w="1255" w:type="dxa"/>
          </w:tcPr>
          <w:p w14:paraId="7EF477F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1.05</w:t>
            </w:r>
          </w:p>
        </w:tc>
        <w:tc>
          <w:tcPr>
            <w:tcW w:w="1255" w:type="dxa"/>
          </w:tcPr>
          <w:p w14:paraId="03AB837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-41.8%</w:t>
            </w:r>
          </w:p>
        </w:tc>
        <w:tc>
          <w:tcPr>
            <w:tcW w:w="1255" w:type="dxa"/>
          </w:tcPr>
          <w:p w14:paraId="65E0525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0.70</w:t>
            </w:r>
          </w:p>
        </w:tc>
      </w:tr>
      <w:tr w:rsidR="00D504B6" w14:paraId="0C6768AD"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6AFCAB94" w14:textId="77777777" w:rsidR="00D504B6" w:rsidRDefault="00000000">
            <w:r>
              <w:rPr>
                <w:sz w:val="18"/>
              </w:rPr>
              <w:t>TLT</w:t>
            </w:r>
          </w:p>
        </w:tc>
        <w:tc>
          <w:tcPr>
            <w:tcW w:w="1255" w:type="dxa"/>
          </w:tcPr>
          <w:p w14:paraId="7A4F3FDA"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$10.4M</w:t>
            </w:r>
          </w:p>
        </w:tc>
        <w:tc>
          <w:tcPr>
            <w:tcW w:w="1255" w:type="dxa"/>
          </w:tcPr>
          <w:p w14:paraId="4D518E6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+32.1%</w:t>
            </w:r>
          </w:p>
        </w:tc>
        <w:tc>
          <w:tcPr>
            <w:tcW w:w="1255" w:type="dxa"/>
          </w:tcPr>
          <w:p w14:paraId="4CD0B0C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0.88</w:t>
            </w:r>
          </w:p>
        </w:tc>
        <w:tc>
          <w:tcPr>
            <w:tcW w:w="1255" w:type="dxa"/>
          </w:tcPr>
          <w:p w14:paraId="7D1B88D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1.12</w:t>
            </w:r>
          </w:p>
        </w:tc>
        <w:tc>
          <w:tcPr>
            <w:tcW w:w="1255" w:type="dxa"/>
          </w:tcPr>
          <w:p w14:paraId="245D1D7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-55.3%</w:t>
            </w:r>
          </w:p>
        </w:tc>
        <w:tc>
          <w:tcPr>
            <w:tcW w:w="1255" w:type="dxa"/>
          </w:tcPr>
          <w:p w14:paraId="2340EA4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b/>
                <w:sz w:val="18"/>
              </w:rPr>
              <w:t>0.56</w:t>
            </w:r>
          </w:p>
        </w:tc>
      </w:tr>
      <w:tr w:rsidR="00D504B6" w14:paraId="26904DCE"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76277D00" w14:textId="77777777" w:rsidR="00D504B6" w:rsidRDefault="00000000">
            <w:r>
              <w:rPr>
                <w:sz w:val="18"/>
              </w:rPr>
              <w:t>TMF</w:t>
            </w:r>
          </w:p>
        </w:tc>
        <w:tc>
          <w:tcPr>
            <w:tcW w:w="1255" w:type="dxa"/>
          </w:tcPr>
          <w:p w14:paraId="63F3662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$11.3M</w:t>
            </w:r>
          </w:p>
        </w:tc>
        <w:tc>
          <w:tcPr>
            <w:tcW w:w="1255" w:type="dxa"/>
          </w:tcPr>
          <w:p w14:paraId="0BA1E70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+32.8%</w:t>
            </w:r>
          </w:p>
        </w:tc>
        <w:tc>
          <w:tcPr>
            <w:tcW w:w="1255" w:type="dxa"/>
          </w:tcPr>
          <w:p w14:paraId="5D2854E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0.83</w:t>
            </w:r>
          </w:p>
        </w:tc>
        <w:tc>
          <w:tcPr>
            <w:tcW w:w="1255" w:type="dxa"/>
          </w:tcPr>
          <w:p w14:paraId="6F4EE51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1.08</w:t>
            </w:r>
          </w:p>
        </w:tc>
        <w:tc>
          <w:tcPr>
            <w:tcW w:w="1255" w:type="dxa"/>
          </w:tcPr>
          <w:p w14:paraId="40B7406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-76.7%</w:t>
            </w:r>
          </w:p>
        </w:tc>
        <w:tc>
          <w:tcPr>
            <w:tcW w:w="1255" w:type="dxa"/>
          </w:tcPr>
          <w:p w14:paraId="512F81B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0.41</w:t>
            </w:r>
          </w:p>
        </w:tc>
      </w:tr>
      <w:tr w:rsidR="00D504B6" w14:paraId="7E59C2C4"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55" w:type="dxa"/>
          </w:tcPr>
          <w:p w14:paraId="0905A923" w14:textId="77777777" w:rsidR="00D504B6" w:rsidRDefault="00000000">
            <w:r>
              <w:rPr>
                <w:sz w:val="18"/>
              </w:rPr>
              <w:t>*UPRO B&amp;H*</w:t>
            </w:r>
          </w:p>
        </w:tc>
        <w:tc>
          <w:tcPr>
            <w:tcW w:w="1255" w:type="dxa"/>
          </w:tcPr>
          <w:p w14:paraId="39365A4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*$9.5M*</w:t>
            </w:r>
          </w:p>
        </w:tc>
        <w:tc>
          <w:tcPr>
            <w:tcW w:w="1255" w:type="dxa"/>
          </w:tcPr>
          <w:p w14:paraId="75319F2B"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*+31.4%*</w:t>
            </w:r>
          </w:p>
        </w:tc>
        <w:tc>
          <w:tcPr>
            <w:tcW w:w="1255" w:type="dxa"/>
          </w:tcPr>
          <w:p w14:paraId="0BB424D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*0.77*</w:t>
            </w:r>
          </w:p>
        </w:tc>
        <w:tc>
          <w:tcPr>
            <w:tcW w:w="1255" w:type="dxa"/>
          </w:tcPr>
          <w:p w14:paraId="18F7100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*0.95*</w:t>
            </w:r>
          </w:p>
        </w:tc>
        <w:tc>
          <w:tcPr>
            <w:tcW w:w="1255" w:type="dxa"/>
          </w:tcPr>
          <w:p w14:paraId="592E729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*-76.8%*</w:t>
            </w:r>
          </w:p>
        </w:tc>
        <w:tc>
          <w:tcPr>
            <w:tcW w:w="1255" w:type="dxa"/>
          </w:tcPr>
          <w:p w14:paraId="65EE345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*0.39*</w:t>
            </w:r>
          </w:p>
        </w:tc>
      </w:tr>
    </w:tbl>
    <w:p w14:paraId="5491D402" w14:textId="77777777" w:rsidR="00D504B6" w:rsidRDefault="00D504B6"/>
    <w:p w14:paraId="797F45D6" w14:textId="77777777" w:rsidR="00D504B6" w:rsidRDefault="00000000">
      <w:r>
        <w:t>Both bond variants beat the T-bill baseline on terminal wealth and Sharpe: TLT ($10.4M) and TMF ($11.3M) versus T-bills' $8.4M. TLT is the standout on risk-adjusted metrics. It achieves the highest Sharpe ratio in the entire analysis (0.88) with a manageable -55.3% max drawdown. The Sortino ratio (1.12) is also the best, reflecting particularly good downside risk management. TMF edges TLT on terminal wealth but at -76.7% max drawdown -- essentially giving back the entire drawdown advantage that makes the timing strategy worthwhile.</w:t>
      </w:r>
    </w:p>
    <w:p w14:paraId="22A71F46" w14:textId="77777777" w:rsidR="00D504B6" w:rsidRDefault="00000000">
      <w:pPr>
        <w:pStyle w:val="Heading2"/>
      </w:pPr>
      <w:r>
        <w:t>Why TLT Works</w:t>
      </w:r>
    </w:p>
    <w:p w14:paraId="00679614" w14:textId="77777777" w:rsidR="00D504B6" w:rsidRDefault="00000000">
      <w:r>
        <w:t>The logic is straightforward: the DD exit fires during stock market drawdowns, and long-term Treasuries tend to rally during exactly those periods. Here are the actual TLT and TMF returns during each cooling period:</w:t>
      </w:r>
    </w:p>
    <w:tbl>
      <w:tblPr>
        <w:tblStyle w:val="LightGrid-Accent1"/>
        <w:tblW w:w="0" w:type="auto"/>
        <w:jc w:val="center"/>
        <w:tblLook w:val="04A0" w:firstRow="1" w:lastRow="0" w:firstColumn="1" w:lastColumn="0" w:noHBand="0" w:noVBand="1"/>
      </w:tblPr>
      <w:tblGrid>
        <w:gridCol w:w="1757"/>
        <w:gridCol w:w="1757"/>
        <w:gridCol w:w="1757"/>
        <w:gridCol w:w="1757"/>
        <w:gridCol w:w="1757"/>
      </w:tblGrid>
      <w:tr w:rsidR="00D504B6" w14:paraId="11D72724" w14:textId="77777777" w:rsidTr="00D504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20F521FC" w14:textId="77777777" w:rsidR="00D504B6" w:rsidRDefault="00000000">
            <w:pPr>
              <w:jc w:val="center"/>
            </w:pPr>
            <w:r>
              <w:rPr>
                <w:sz w:val="18"/>
              </w:rPr>
              <w:t>Period</w:t>
            </w:r>
          </w:p>
        </w:tc>
        <w:tc>
          <w:tcPr>
            <w:tcW w:w="1757" w:type="dxa"/>
          </w:tcPr>
          <w:p w14:paraId="7725742C"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Days</w:t>
            </w:r>
          </w:p>
        </w:tc>
        <w:tc>
          <w:tcPr>
            <w:tcW w:w="1757" w:type="dxa"/>
          </w:tcPr>
          <w:p w14:paraId="72E6A9FA"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T-bill</w:t>
            </w:r>
          </w:p>
        </w:tc>
        <w:tc>
          <w:tcPr>
            <w:tcW w:w="1757" w:type="dxa"/>
          </w:tcPr>
          <w:p w14:paraId="1613CE8A"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TLT Return</w:t>
            </w:r>
          </w:p>
        </w:tc>
        <w:tc>
          <w:tcPr>
            <w:tcW w:w="1757" w:type="dxa"/>
          </w:tcPr>
          <w:p w14:paraId="10E73B35" w14:textId="77777777" w:rsidR="00D504B6" w:rsidRDefault="00000000">
            <w:pPr>
              <w:jc w:val="center"/>
              <w:cnfStyle w:val="100000000000" w:firstRow="1" w:lastRow="0" w:firstColumn="0" w:lastColumn="0" w:oddVBand="0" w:evenVBand="0" w:oddHBand="0" w:evenHBand="0" w:firstRowFirstColumn="0" w:firstRowLastColumn="0" w:lastRowFirstColumn="0" w:lastRowLastColumn="0"/>
            </w:pPr>
            <w:r>
              <w:rPr>
                <w:sz w:val="18"/>
              </w:rPr>
              <w:t>TMF Return</w:t>
            </w:r>
          </w:p>
        </w:tc>
      </w:tr>
      <w:tr w:rsidR="00D504B6" w14:paraId="74014D82"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06053D1D" w14:textId="77777777" w:rsidR="00D504B6" w:rsidRDefault="00000000">
            <w:r>
              <w:rPr>
                <w:sz w:val="18"/>
              </w:rPr>
              <w:t>May-Jul 2010</w:t>
            </w:r>
          </w:p>
        </w:tc>
        <w:tc>
          <w:tcPr>
            <w:tcW w:w="1757" w:type="dxa"/>
          </w:tcPr>
          <w:p w14:paraId="12063B6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757" w:type="dxa"/>
          </w:tcPr>
          <w:p w14:paraId="1420DAC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57" w:type="dxa"/>
          </w:tcPr>
          <w:p w14:paraId="4B758BE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+1.7%</w:t>
            </w:r>
          </w:p>
        </w:tc>
        <w:tc>
          <w:tcPr>
            <w:tcW w:w="1757" w:type="dxa"/>
          </w:tcPr>
          <w:p w14:paraId="77863DE4"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+3.4%</w:t>
            </w:r>
          </w:p>
        </w:tc>
      </w:tr>
      <w:tr w:rsidR="00D504B6" w14:paraId="52429729"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710773D4" w14:textId="77777777" w:rsidR="00D504B6" w:rsidRDefault="00000000">
            <w:r>
              <w:rPr>
                <w:sz w:val="18"/>
              </w:rPr>
              <w:t>Aug-Oct 2011 (debt ceiling)</w:t>
            </w:r>
          </w:p>
        </w:tc>
        <w:tc>
          <w:tcPr>
            <w:tcW w:w="1757" w:type="dxa"/>
          </w:tcPr>
          <w:p w14:paraId="45F372B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59</w:t>
            </w:r>
          </w:p>
        </w:tc>
        <w:tc>
          <w:tcPr>
            <w:tcW w:w="1757" w:type="dxa"/>
          </w:tcPr>
          <w:p w14:paraId="2785BE1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w:t>
            </w:r>
          </w:p>
        </w:tc>
        <w:tc>
          <w:tcPr>
            <w:tcW w:w="1757" w:type="dxa"/>
          </w:tcPr>
          <w:p w14:paraId="50D939E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+18.5%</w:t>
            </w:r>
          </w:p>
        </w:tc>
        <w:tc>
          <w:tcPr>
            <w:tcW w:w="1757" w:type="dxa"/>
          </w:tcPr>
          <w:p w14:paraId="388E9DA5"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+58.4%</w:t>
            </w:r>
          </w:p>
        </w:tc>
      </w:tr>
      <w:tr w:rsidR="00D504B6" w14:paraId="188A8C32"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5FADE007" w14:textId="77777777" w:rsidR="00D504B6" w:rsidRDefault="00000000">
            <w:r>
              <w:rPr>
                <w:sz w:val="18"/>
              </w:rPr>
              <w:t>Nov 2011-Jan 2012</w:t>
            </w:r>
          </w:p>
        </w:tc>
        <w:tc>
          <w:tcPr>
            <w:tcW w:w="1757" w:type="dxa"/>
          </w:tcPr>
          <w:p w14:paraId="2C78481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55</w:t>
            </w:r>
          </w:p>
        </w:tc>
        <w:tc>
          <w:tcPr>
            <w:tcW w:w="1757" w:type="dxa"/>
          </w:tcPr>
          <w:p w14:paraId="1D730C4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57" w:type="dxa"/>
          </w:tcPr>
          <w:p w14:paraId="61ABAD4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-1.5%</w:t>
            </w:r>
          </w:p>
        </w:tc>
        <w:tc>
          <w:tcPr>
            <w:tcW w:w="1757" w:type="dxa"/>
          </w:tcPr>
          <w:p w14:paraId="1224602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-5.9%</w:t>
            </w:r>
          </w:p>
        </w:tc>
      </w:tr>
      <w:tr w:rsidR="00D504B6" w14:paraId="10DA9811"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16311895" w14:textId="77777777" w:rsidR="00D504B6" w:rsidRDefault="00000000">
            <w:r>
              <w:rPr>
                <w:sz w:val="18"/>
              </w:rPr>
              <w:t>Jun-Jul 2012</w:t>
            </w:r>
          </w:p>
        </w:tc>
        <w:tc>
          <w:tcPr>
            <w:tcW w:w="1757" w:type="dxa"/>
          </w:tcPr>
          <w:p w14:paraId="7488CB5E"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57</w:t>
            </w:r>
          </w:p>
        </w:tc>
        <w:tc>
          <w:tcPr>
            <w:tcW w:w="1757" w:type="dxa"/>
          </w:tcPr>
          <w:p w14:paraId="3EEEBAA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w:t>
            </w:r>
          </w:p>
        </w:tc>
        <w:tc>
          <w:tcPr>
            <w:tcW w:w="1757" w:type="dxa"/>
          </w:tcPr>
          <w:p w14:paraId="677C5D7B"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+0.6%</w:t>
            </w:r>
          </w:p>
        </w:tc>
        <w:tc>
          <w:tcPr>
            <w:tcW w:w="1757" w:type="dxa"/>
          </w:tcPr>
          <w:p w14:paraId="291B215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+0.8%</w:t>
            </w:r>
          </w:p>
        </w:tc>
      </w:tr>
      <w:tr w:rsidR="00D504B6" w14:paraId="2A7C7E2D"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2D088404" w14:textId="77777777" w:rsidR="00D504B6" w:rsidRDefault="00000000">
            <w:r>
              <w:rPr>
                <w:sz w:val="18"/>
              </w:rPr>
              <w:t>Aug-Oct 2015</w:t>
            </w:r>
          </w:p>
        </w:tc>
        <w:tc>
          <w:tcPr>
            <w:tcW w:w="1757" w:type="dxa"/>
          </w:tcPr>
          <w:p w14:paraId="3ABD5E0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757" w:type="dxa"/>
          </w:tcPr>
          <w:p w14:paraId="0DCC09F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57" w:type="dxa"/>
          </w:tcPr>
          <w:p w14:paraId="67A6BB51"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-0.3%</w:t>
            </w:r>
          </w:p>
        </w:tc>
        <w:tc>
          <w:tcPr>
            <w:tcW w:w="1757" w:type="dxa"/>
          </w:tcPr>
          <w:p w14:paraId="026CFEE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-2.1%</w:t>
            </w:r>
          </w:p>
        </w:tc>
      </w:tr>
      <w:tr w:rsidR="00D504B6" w14:paraId="24EFC2DD"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0501410C" w14:textId="77777777" w:rsidR="00D504B6" w:rsidRDefault="00000000">
            <w:r>
              <w:rPr>
                <w:sz w:val="18"/>
              </w:rPr>
              <w:t>Jan-Mar 2016</w:t>
            </w:r>
          </w:p>
        </w:tc>
        <w:tc>
          <w:tcPr>
            <w:tcW w:w="1757" w:type="dxa"/>
          </w:tcPr>
          <w:p w14:paraId="1C29126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60</w:t>
            </w:r>
          </w:p>
        </w:tc>
        <w:tc>
          <w:tcPr>
            <w:tcW w:w="1757" w:type="dxa"/>
          </w:tcPr>
          <w:p w14:paraId="6EB4816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+0.1%</w:t>
            </w:r>
          </w:p>
        </w:tc>
        <w:tc>
          <w:tcPr>
            <w:tcW w:w="1757" w:type="dxa"/>
          </w:tcPr>
          <w:p w14:paraId="1DD4B01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w:t>
            </w:r>
          </w:p>
        </w:tc>
        <w:tc>
          <w:tcPr>
            <w:tcW w:w="1757" w:type="dxa"/>
          </w:tcPr>
          <w:p w14:paraId="03746FC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+8.2%</w:t>
            </w:r>
          </w:p>
        </w:tc>
      </w:tr>
      <w:tr w:rsidR="00D504B6" w14:paraId="562D469A"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1D134EE9" w14:textId="77777777" w:rsidR="00D504B6" w:rsidRDefault="00000000">
            <w:r>
              <w:rPr>
                <w:sz w:val="18"/>
              </w:rPr>
              <w:t>Feb-Apr 2018</w:t>
            </w:r>
          </w:p>
        </w:tc>
        <w:tc>
          <w:tcPr>
            <w:tcW w:w="1757" w:type="dxa"/>
          </w:tcPr>
          <w:p w14:paraId="08C7041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757" w:type="dxa"/>
          </w:tcPr>
          <w:p w14:paraId="55F45F6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+0.4%</w:t>
            </w:r>
          </w:p>
        </w:tc>
        <w:tc>
          <w:tcPr>
            <w:tcW w:w="1757" w:type="dxa"/>
          </w:tcPr>
          <w:p w14:paraId="1AFC36ED"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1757" w:type="dxa"/>
          </w:tcPr>
          <w:p w14:paraId="58D3F36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+8.6%</w:t>
            </w:r>
          </w:p>
        </w:tc>
      </w:tr>
      <w:tr w:rsidR="00D504B6" w14:paraId="0917E6DD"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21FA64C7" w14:textId="77777777" w:rsidR="00D504B6" w:rsidRDefault="00000000">
            <w:r>
              <w:rPr>
                <w:sz w:val="18"/>
              </w:rPr>
              <w:t>Oct-Dec 2018</w:t>
            </w:r>
          </w:p>
        </w:tc>
        <w:tc>
          <w:tcPr>
            <w:tcW w:w="1757" w:type="dxa"/>
          </w:tcPr>
          <w:p w14:paraId="1DF8F02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60</w:t>
            </w:r>
          </w:p>
        </w:tc>
        <w:tc>
          <w:tcPr>
            <w:tcW w:w="1757" w:type="dxa"/>
          </w:tcPr>
          <w:p w14:paraId="7222A591"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757" w:type="dxa"/>
          </w:tcPr>
          <w:p w14:paraId="3636A6D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+6.5%</w:t>
            </w:r>
          </w:p>
        </w:tc>
        <w:tc>
          <w:tcPr>
            <w:tcW w:w="1757" w:type="dxa"/>
          </w:tcPr>
          <w:p w14:paraId="69AC1113"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+19.6%</w:t>
            </w:r>
          </w:p>
        </w:tc>
      </w:tr>
      <w:tr w:rsidR="00D504B6" w14:paraId="475B9079"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75006168" w14:textId="77777777" w:rsidR="00D504B6" w:rsidRDefault="00000000">
            <w:r>
              <w:rPr>
                <w:sz w:val="18"/>
              </w:rPr>
              <w:t xml:space="preserve">Feb-Apr 2020 </w:t>
            </w:r>
            <w:r>
              <w:rPr>
                <w:sz w:val="18"/>
              </w:rPr>
              <w:lastRenderedPageBreak/>
              <w:t>(COVID)</w:t>
            </w:r>
          </w:p>
        </w:tc>
        <w:tc>
          <w:tcPr>
            <w:tcW w:w="1757" w:type="dxa"/>
          </w:tcPr>
          <w:p w14:paraId="2AA5CAA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lastRenderedPageBreak/>
              <w:t>59</w:t>
            </w:r>
          </w:p>
        </w:tc>
        <w:tc>
          <w:tcPr>
            <w:tcW w:w="1757" w:type="dxa"/>
          </w:tcPr>
          <w:p w14:paraId="355CCD9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w:t>
            </w:r>
          </w:p>
        </w:tc>
        <w:tc>
          <w:tcPr>
            <w:tcW w:w="1757" w:type="dxa"/>
          </w:tcPr>
          <w:p w14:paraId="444756D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+10.2%</w:t>
            </w:r>
          </w:p>
        </w:tc>
        <w:tc>
          <w:tcPr>
            <w:tcW w:w="1757" w:type="dxa"/>
          </w:tcPr>
          <w:p w14:paraId="7FDC7403"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+20.4%</w:t>
            </w:r>
          </w:p>
        </w:tc>
      </w:tr>
      <w:tr w:rsidR="00D504B6" w14:paraId="2C487097"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1EC255B0" w14:textId="77777777" w:rsidR="00D504B6" w:rsidRDefault="00000000">
            <w:r>
              <w:rPr>
                <w:sz w:val="18"/>
              </w:rPr>
              <w:t>Sep-Nov 2020</w:t>
            </w:r>
          </w:p>
        </w:tc>
        <w:tc>
          <w:tcPr>
            <w:tcW w:w="1757" w:type="dxa"/>
          </w:tcPr>
          <w:p w14:paraId="205E11B6"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54</w:t>
            </w:r>
          </w:p>
        </w:tc>
        <w:tc>
          <w:tcPr>
            <w:tcW w:w="1757" w:type="dxa"/>
          </w:tcPr>
          <w:p w14:paraId="53DA459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w:t>
            </w:r>
          </w:p>
        </w:tc>
        <w:tc>
          <w:tcPr>
            <w:tcW w:w="1757" w:type="dxa"/>
          </w:tcPr>
          <w:p w14:paraId="77AD715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-3.5%</w:t>
            </w:r>
          </w:p>
        </w:tc>
        <w:tc>
          <w:tcPr>
            <w:tcW w:w="1757" w:type="dxa"/>
          </w:tcPr>
          <w:p w14:paraId="53E250F4"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-11.1%</w:t>
            </w:r>
          </w:p>
        </w:tc>
      </w:tr>
      <w:tr w:rsidR="00D504B6" w14:paraId="14EB2A13"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7214236C" w14:textId="77777777" w:rsidR="00D504B6" w:rsidRDefault="00000000">
            <w:r>
              <w:rPr>
                <w:sz w:val="18"/>
              </w:rPr>
              <w:t>Jan-Mar 2022 (rate hikes)</w:t>
            </w:r>
          </w:p>
        </w:tc>
        <w:tc>
          <w:tcPr>
            <w:tcW w:w="1757" w:type="dxa"/>
          </w:tcPr>
          <w:p w14:paraId="099FECE2"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757" w:type="dxa"/>
          </w:tcPr>
          <w:p w14:paraId="574F5D5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w:t>
            </w:r>
          </w:p>
        </w:tc>
        <w:tc>
          <w:tcPr>
            <w:tcW w:w="1757" w:type="dxa"/>
          </w:tcPr>
          <w:p w14:paraId="1ABB9D48"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-8.6%</w:t>
            </w:r>
          </w:p>
        </w:tc>
        <w:tc>
          <w:tcPr>
            <w:tcW w:w="1757" w:type="dxa"/>
          </w:tcPr>
          <w:p w14:paraId="2A8D971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-25.5%</w:t>
            </w:r>
          </w:p>
        </w:tc>
      </w:tr>
      <w:tr w:rsidR="00D504B6" w14:paraId="4890D1C7"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1CB9DC04" w14:textId="77777777" w:rsidR="00D504B6" w:rsidRDefault="00000000">
            <w:r>
              <w:rPr>
                <w:sz w:val="18"/>
              </w:rPr>
              <w:t>Apr-Jun 2022</w:t>
            </w:r>
          </w:p>
        </w:tc>
        <w:tc>
          <w:tcPr>
            <w:tcW w:w="1757" w:type="dxa"/>
          </w:tcPr>
          <w:p w14:paraId="213A5960"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58</w:t>
            </w:r>
          </w:p>
        </w:tc>
        <w:tc>
          <w:tcPr>
            <w:tcW w:w="1757" w:type="dxa"/>
          </w:tcPr>
          <w:p w14:paraId="56837C22"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+0.2%</w:t>
            </w:r>
          </w:p>
        </w:tc>
        <w:tc>
          <w:tcPr>
            <w:tcW w:w="1757" w:type="dxa"/>
          </w:tcPr>
          <w:p w14:paraId="0D3E1067"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-6.8%</w:t>
            </w:r>
          </w:p>
        </w:tc>
        <w:tc>
          <w:tcPr>
            <w:tcW w:w="1757" w:type="dxa"/>
          </w:tcPr>
          <w:p w14:paraId="2107F00C"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-21.3%</w:t>
            </w:r>
          </w:p>
        </w:tc>
      </w:tr>
      <w:tr w:rsidR="00D504B6" w14:paraId="0550BA86"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76CC9BD4" w14:textId="77777777" w:rsidR="00D504B6" w:rsidRDefault="00000000">
            <w:r>
              <w:rPr>
                <w:sz w:val="18"/>
              </w:rPr>
              <w:t>Sep-Nov 2022</w:t>
            </w:r>
          </w:p>
        </w:tc>
        <w:tc>
          <w:tcPr>
            <w:tcW w:w="1757" w:type="dxa"/>
          </w:tcPr>
          <w:p w14:paraId="2282FA5F"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56</w:t>
            </w:r>
          </w:p>
        </w:tc>
        <w:tc>
          <w:tcPr>
            <w:tcW w:w="1757" w:type="dxa"/>
          </w:tcPr>
          <w:p w14:paraId="15CBC6C9"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w:t>
            </w:r>
          </w:p>
        </w:tc>
        <w:tc>
          <w:tcPr>
            <w:tcW w:w="1757" w:type="dxa"/>
          </w:tcPr>
          <w:p w14:paraId="4595D04E"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-10.1%</w:t>
            </w:r>
          </w:p>
        </w:tc>
        <w:tc>
          <w:tcPr>
            <w:tcW w:w="1757" w:type="dxa"/>
          </w:tcPr>
          <w:p w14:paraId="1F651E86"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-29.8%</w:t>
            </w:r>
          </w:p>
        </w:tc>
      </w:tr>
      <w:tr w:rsidR="00D504B6" w14:paraId="6D5C63A3" w14:textId="77777777" w:rsidTr="00D504B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051050DE" w14:textId="77777777" w:rsidR="00D504B6" w:rsidRDefault="00000000">
            <w:r>
              <w:rPr>
                <w:sz w:val="18"/>
              </w:rPr>
              <w:t>Oct-Dec 2023</w:t>
            </w:r>
          </w:p>
        </w:tc>
        <w:tc>
          <w:tcPr>
            <w:tcW w:w="1757" w:type="dxa"/>
          </w:tcPr>
          <w:p w14:paraId="5DFB123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49</w:t>
            </w:r>
          </w:p>
        </w:tc>
        <w:tc>
          <w:tcPr>
            <w:tcW w:w="1757" w:type="dxa"/>
          </w:tcPr>
          <w:p w14:paraId="03F793D8"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757" w:type="dxa"/>
          </w:tcPr>
          <w:p w14:paraId="4BEF653D"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+18.1%</w:t>
            </w:r>
          </w:p>
        </w:tc>
        <w:tc>
          <w:tcPr>
            <w:tcW w:w="1757" w:type="dxa"/>
          </w:tcPr>
          <w:p w14:paraId="3A0BAF99" w14:textId="77777777" w:rsidR="00D504B6"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+58.9%</w:t>
            </w:r>
          </w:p>
        </w:tc>
      </w:tr>
      <w:tr w:rsidR="00D504B6" w14:paraId="1704C72A" w14:textId="77777777" w:rsidTr="00D504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57" w:type="dxa"/>
          </w:tcPr>
          <w:p w14:paraId="0C674301" w14:textId="77777777" w:rsidR="00D504B6" w:rsidRDefault="00000000">
            <w:r>
              <w:rPr>
                <w:sz w:val="18"/>
              </w:rPr>
              <w:t>Mar-May 2025</w:t>
            </w:r>
          </w:p>
        </w:tc>
        <w:tc>
          <w:tcPr>
            <w:tcW w:w="1757" w:type="dxa"/>
          </w:tcPr>
          <w:p w14:paraId="7082284B"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757" w:type="dxa"/>
          </w:tcPr>
          <w:p w14:paraId="4C50C88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w:t>
            </w:r>
          </w:p>
        </w:tc>
        <w:tc>
          <w:tcPr>
            <w:tcW w:w="1757" w:type="dxa"/>
          </w:tcPr>
          <w:p w14:paraId="52297925"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-1.5%</w:t>
            </w:r>
          </w:p>
        </w:tc>
        <w:tc>
          <w:tcPr>
            <w:tcW w:w="1757" w:type="dxa"/>
          </w:tcPr>
          <w:p w14:paraId="1C1970B0" w14:textId="77777777" w:rsidR="00D504B6" w:rsidRDefault="00000000">
            <w:pPr>
              <w:jc w:val="center"/>
              <w:cnfStyle w:val="000000100000" w:firstRow="0" w:lastRow="0" w:firstColumn="0" w:lastColumn="0" w:oddVBand="0" w:evenVBand="0" w:oddHBand="1" w:evenHBand="0" w:firstRowFirstColumn="0" w:firstRowLastColumn="0" w:lastRowFirstColumn="0" w:lastRowLastColumn="0"/>
            </w:pPr>
            <w:r>
              <w:rPr>
                <w:sz w:val="18"/>
              </w:rPr>
              <w:t>-7.4%</w:t>
            </w:r>
          </w:p>
        </w:tc>
      </w:tr>
    </w:tbl>
    <w:p w14:paraId="2D5944B7" w14:textId="77777777" w:rsidR="00D504B6" w:rsidRDefault="00D504B6"/>
    <w:p w14:paraId="54ADEBA2" w14:textId="77777777" w:rsidR="00D504B6" w:rsidRDefault="00000000">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(zero interest-rate policy) years (2010-2016, 2020) and only meaningful returns once the Fed started hiking in 2022 -- precisely the periods where TLT was losing money.</w:t>
      </w:r>
    </w:p>
    <w:p w14:paraId="2F3586CF" w14:textId="77777777" w:rsidR="00D504B6" w:rsidRDefault="00000000">
      <w:r>
        <w:t>TMF amplifies both sides: +58% during the 2011 debt ceiling, but -30% during the 2022 rate hikes. The 3x leverage turns a useful hedge into a coin flip.</w:t>
      </w:r>
    </w:p>
    <w:p w14:paraId="33818EB0" w14:textId="77777777" w:rsidR="00D504B6" w:rsidRDefault="00000000">
      <w:pPr>
        <w:pStyle w:val="Heading2"/>
      </w:pPr>
      <w:r>
        <w:t>The Trade-Off</w:t>
      </w:r>
    </w:p>
    <w:p w14:paraId="0C4BC777" w14:textId="77777777" w:rsidR="00D504B6" w:rsidRDefault="00000000">
      <w:r>
        <w:t>TLT cash adds roughly 14 percentage points of max drawdown risk (-55% vs -42%) compared to T-bill cash. That's real. The source is 2022: three consecutive cash periods where TLT lost ground instead of providing shelter. In a T-bill world, those periods earned 0-5%. In a TLT world, they lost 8-10% each.</w:t>
      </w:r>
    </w:p>
    <w:p w14:paraId="522FC552" w14:textId="77777777" w:rsidR="00D504B6" w:rsidRDefault="00000000">
      <w:r>
        <w:t>But the risk is bounded. TLT's worst cooling-period return was -10.1% -- painful but not portfolio-threatening. TMF's worst was -29.8% -- genuinely dangerous. The 1x bond position bends during rate hikes; the 3x position breaks. One important caveat: the TLT hedge's historical success relies on equity drawdowns being driven by growth shocks (2011, 2018, 2020), where bonds rally as investors flee to safety. If future equity drawdowns are driven by persistent inflation rather than growth shocks, the stock-bond correlation could remain positive, reducing the effectiveness of the TLT hedge -- as we saw in 2022.</w:t>
      </w:r>
    </w:p>
    <w:p w14:paraId="0DB1B142" w14:textId="77777777" w:rsidR="00D504B6" w:rsidRDefault="00000000">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 with a -77% max drawdown nearly matching UPRO buy-and-hold.</w:t>
      </w:r>
    </w:p>
    <w:p w14:paraId="74E9FBFA" w14:textId="77777777" w:rsidR="00D504B6" w:rsidRDefault="00000000">
      <w:pPr>
        <w:jc w:val="center"/>
      </w:pPr>
      <w:r>
        <w:rPr>
          <w:noProof/>
        </w:rPr>
        <w:lastRenderedPageBreak/>
        <w:drawing>
          <wp:inline distT="0" distB="0" distL="0" distR="0" wp14:anchorId="4B1DBE19" wp14:editId="4F12AFDB">
            <wp:extent cx="5486400" cy="32674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ond_cash.png"/>
                    <pic:cNvPicPr/>
                  </pic:nvPicPr>
                  <pic:blipFill>
                    <a:blip r:embed="rId16"/>
                    <a:stretch>
                      <a:fillRect/>
                    </a:stretch>
                  </pic:blipFill>
                  <pic:spPr>
                    <a:xfrm>
                      <a:off x="0" y="0"/>
                      <a:ext cx="5486400" cy="3267431"/>
                    </a:xfrm>
                    <a:prstGeom prst="rect">
                      <a:avLst/>
                    </a:prstGeom>
                  </pic:spPr>
                </pic:pic>
              </a:graphicData>
            </a:graphic>
          </wp:inline>
        </w:drawing>
      </w:r>
    </w:p>
    <w:p w14:paraId="4F749F34" w14:textId="77777777" w:rsidR="00D504B6" w:rsidRDefault="00D504B6"/>
    <w:p w14:paraId="480C719F" w14:textId="77777777" w:rsidR="00D504B6" w:rsidRDefault="00000000">
      <w:pPr>
        <w:pStyle w:val="Heading1"/>
      </w:pPr>
      <w:r>
        <w:t>How to Implement the Drawdown Exit</w:t>
      </w:r>
    </w:p>
    <w:p w14:paraId="206FB189" w14:textId="77777777" w:rsidR="00D504B6" w:rsidRDefault="00000000">
      <w:r>
        <w:t>If you want to apply the DD25%/Cool40 strategy, here's the complete process:</w:t>
      </w:r>
    </w:p>
    <w:p w14:paraId="77FAA743" w14:textId="77777777" w:rsidR="00D504B6" w:rsidRDefault="00000000">
      <w:pPr>
        <w:pStyle w:val="ListNumber"/>
      </w:pPr>
      <w:r>
        <w:rPr>
          <w:b/>
        </w:rPr>
        <w:t>Track UPRO's all-time high</w:t>
      </w:r>
      <w:r>
        <w:t xml:space="preserve"> on a closing-price basis. Start with the current ATH.</w:t>
      </w:r>
    </w:p>
    <w:p w14:paraId="65EFB504" w14:textId="77777777" w:rsidR="00D504B6" w:rsidRDefault="00000000">
      <w:pPr>
        <w:pStyle w:val="ListNumber"/>
      </w:pPr>
      <w:r>
        <w:rPr>
          <w:b/>
        </w:rPr>
        <w:t>Each trading day at market close</w:t>
      </w:r>
      <w:r>
        <w:t>, calculate the drawdown: (today's close / ATH) - 1.</w:t>
      </w:r>
    </w:p>
    <w:p w14:paraId="38004813" w14:textId="77777777" w:rsidR="00D504B6" w:rsidRDefault="00000000">
      <w:pPr>
        <w:pStyle w:val="ListNumber"/>
      </w:pPr>
      <w:r>
        <w:rPr>
          <w:b/>
        </w:rPr>
        <w:t>If the drawdown exceeds -25%</w:t>
      </w:r>
      <w:r>
        <w:t>, sell all UPRO at the next market open. Move proceeds to TLT (or a money market fund if you prefer the safer variant).</w:t>
      </w:r>
    </w:p>
    <w:p w14:paraId="7DD9D0C6" w14:textId="77777777" w:rsidR="00D504B6" w:rsidRDefault="00000000">
      <w:pPr>
        <w:pStyle w:val="ListNumber"/>
      </w:pPr>
      <w:r>
        <w:rPr>
          <w:b/>
        </w:rPr>
        <w:t>Start a 40-trading-day clock</w:t>
      </w:r>
      <w:r>
        <w:t xml:space="preserve"> (approximately 8 calendar weeks).</w:t>
      </w:r>
    </w:p>
    <w:p w14:paraId="282B2DE6" w14:textId="77777777" w:rsidR="00D504B6" w:rsidRDefault="00000000">
      <w:pPr>
        <w:pStyle w:val="ListNumber"/>
      </w:pPr>
      <w:r>
        <w:rPr>
          <w:b/>
        </w:rPr>
        <w:t>Re-enter UPRO when either</w:t>
      </w:r>
      <w:r>
        <w:t>: (a) UPRO closes at a new all-time high, or (b) 40 trading days have elapsed since your exit. Buy at the next open.</w:t>
      </w:r>
    </w:p>
    <w:p w14:paraId="1B8C8EAC" w14:textId="77777777" w:rsidR="00D504B6" w:rsidRDefault="00000000">
      <w:pPr>
        <w:pStyle w:val="ListNumber"/>
      </w:pPr>
      <w:r>
        <w:rPr>
          <w:b/>
        </w:rPr>
        <w:t>Reset the ATH tracker</w:t>
      </w:r>
      <w:r>
        <w:t xml:space="preserve"> and repeat.</w:t>
      </w:r>
    </w:p>
    <w:p w14:paraId="7A4A2636" w14:textId="77777777" w:rsidR="00D504B6" w:rsidRDefault="00000000">
      <w:r>
        <w:t>You can do this with a simple spreadsheet. Check once a day after the close. This is not day trading -- it's closer to a quarterly rebalancing discipline, just triggered by drawdowns instead of the calendar.</w:t>
      </w:r>
    </w:p>
    <w:p w14:paraId="09A8DBA2" w14:textId="77777777" w:rsidR="00D504B6" w:rsidRDefault="00000000">
      <w:r>
        <w:rPr>
          <w:b/>
        </w:rPr>
        <w:t>Tax considerations.</w:t>
      </w:r>
      <w:r>
        <w:t xml:space="preserve"> Each exit is a taxable event. At roughly 15 round-trip trades (31 total signals)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14:paraId="2DFE8CA0" w14:textId="77777777" w:rsidR="00D504B6" w:rsidRDefault="00000000">
      <w:r>
        <w:rPr>
          <w:b/>
        </w:rPr>
        <w:lastRenderedPageBreak/>
        <w:t>Transaction costs.</w:t>
      </w:r>
      <w:r>
        <w:t xml:space="preserve"> At 31 trade signals (~15 complete exit/re-entry cycles) over 16+ years and $0 commissions at most brokers, costs are negligible.</w:t>
      </w:r>
    </w:p>
    <w:p w14:paraId="1965A780" w14:textId="77777777" w:rsidR="00D504B6" w:rsidRDefault="00000000">
      <w:r>
        <w:rPr>
          <w:b/>
        </w:rPr>
        <w:t>Cash vehicle.</w:t>
      </w:r>
      <w:r>
        <w:t xml:space="preserve"> The baseline backtest uses T-bill rates during cash periods. The TLT variant -- buying long-term Treasuries during cooling periods -- produced the highest Sharpe ratio (0.88) and actually beat buy-and-hold on terminal wealth. See the "What to Do With Idle Cash" section for the full comparison.</w:t>
      </w:r>
    </w:p>
    <w:p w14:paraId="6BD79704" w14:textId="77777777" w:rsidR="00D504B6" w:rsidRDefault="00000000">
      <w:r>
        <w:rPr>
          <w:b/>
        </w:rPr>
        <w:t>The most important rule: don't tinker.</w:t>
      </w:r>
      <w:r>
        <w:t xml:space="preserve"> Pick your parameters and stick with them. If you start adjusting the threshold after a whipsaw, you've defeated the purpose of having a systematic rule.</w:t>
      </w:r>
    </w:p>
    <w:p w14:paraId="48C9532A" w14:textId="77777777" w:rsidR="00D504B6" w:rsidRDefault="00000000">
      <w:pPr>
        <w:pStyle w:val="Heading1"/>
      </w:pPr>
      <w:r>
        <w:t>Where Is the Strategy Now?</w:t>
      </w:r>
    </w:p>
    <w:p w14:paraId="6E883C82" w14:textId="77777777" w:rsidR="00D504B6" w:rsidRDefault="00000000">
      <w:r>
        <w:t>If you had been following the DD25%/Cool40 strategy from UPRO's inception, here's your current position as of March 7, 2026:</w:t>
      </w:r>
    </w:p>
    <w:p w14:paraId="7B8647A6" w14:textId="77777777" w:rsidR="00D504B6" w:rsidRDefault="00000000">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+56.1% since re-entry.</w:t>
      </w:r>
    </w:p>
    <w:p w14:paraId="6977B864" w14:textId="77777777" w:rsidR="00D504B6" w:rsidRDefault="00000000">
      <w:r>
        <w:t>UPRO's all-time high was $122.23 on January 12, 2026. The current price of $108.16 represents a -11.5% drawdown from that peak -- a noticeable decline but still well below the -25% threshold that would trigger an exit.</w:t>
      </w:r>
    </w:p>
    <w:p w14:paraId="30E9D5BB" w14:textId="77777777" w:rsidR="00D504B6" w:rsidRDefault="00000000">
      <w:r>
        <w:t>For context, here are the strategy's most recent signals:</w:t>
      </w:r>
    </w:p>
    <w:p w14:paraId="15B93503" w14:textId="77777777" w:rsidR="00D504B6" w:rsidRDefault="00000000">
      <w:pPr>
        <w:pStyle w:val="ListBullet"/>
      </w:pPr>
      <w:r>
        <w:rPr>
          <w:b/>
        </w:rPr>
        <w:t>Nov 2022:</w:t>
      </w:r>
      <w:r>
        <w:t xml:space="preserve"> Re-entered at $33.39 after 40-day cooling period (following the 2022 rate-hiking drawdown)</w:t>
      </w:r>
    </w:p>
    <w:p w14:paraId="7D3371E7" w14:textId="77777777" w:rsidR="00D504B6" w:rsidRDefault="00000000">
      <w:pPr>
        <w:pStyle w:val="ListBullet"/>
      </w:pPr>
      <w:r>
        <w:rPr>
          <w:b/>
        </w:rPr>
        <w:t>Oct 2023:</w:t>
      </w:r>
      <w:r>
        <w:t xml:space="preserve"> Exited at $37.07 (-26.5% drawdown from $50.44 peak)</w:t>
      </w:r>
    </w:p>
    <w:p w14:paraId="39A5A580" w14:textId="77777777" w:rsidR="00D504B6" w:rsidRDefault="00000000">
      <w:pPr>
        <w:pStyle w:val="ListBullet"/>
      </w:pPr>
      <w:r>
        <w:rPr>
          <w:b/>
        </w:rPr>
        <w:t>Dec 2023:</w:t>
      </w:r>
      <w:r>
        <w:t xml:space="preserve"> Re-entered at $51.80 (new all-time high)</w:t>
      </w:r>
    </w:p>
    <w:p w14:paraId="22CAFFA3" w14:textId="77777777" w:rsidR="00D504B6" w:rsidRDefault="00000000">
      <w:pPr>
        <w:pStyle w:val="ListBullet"/>
      </w:pPr>
      <w:r>
        <w:rPr>
          <w:b/>
        </w:rPr>
        <w:t>Mar 2025:</w:t>
      </w:r>
      <w:r>
        <w:t xml:space="preserve"> Exited at $72.37 (-26.4% drawdown from $98.33 peak)</w:t>
      </w:r>
    </w:p>
    <w:p w14:paraId="60BDC56A" w14:textId="77777777" w:rsidR="00D504B6" w:rsidRDefault="00000000">
      <w:pPr>
        <w:pStyle w:val="ListBullet"/>
      </w:pPr>
      <w:r>
        <w:rPr>
          <w:b/>
        </w:rPr>
        <w:t>May 2025:</w:t>
      </w:r>
      <w:r>
        <w:t xml:space="preserve"> Re-entered at $69.28 after 40-day cooling period</w:t>
      </w:r>
    </w:p>
    <w:p w14:paraId="6B4B4BFF" w14:textId="77777777" w:rsidR="00D504B6" w:rsidRDefault="00000000">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At $108.16, the current drawdown is -11.5%, so there's still a substantial buffer before the exit would activate.</w:t>
      </w:r>
    </w:p>
    <w:p w14:paraId="42AF6355" w14:textId="77777777" w:rsidR="00D504B6" w:rsidRDefault="00000000">
      <w:pPr>
        <w:pStyle w:val="Heading1"/>
      </w:pPr>
      <w:r>
        <w:t>Limitations and Honest Caveats</w:t>
      </w:r>
    </w:p>
    <w:p w14:paraId="5D828AB8" w14:textId="77777777" w:rsidR="00D504B6" w:rsidRDefault="00000000">
      <w:r>
        <w:t>I want to be transparent about what this analysis can and cannot tell us.</w:t>
      </w:r>
    </w:p>
    <w:p w14:paraId="7410A2B0" w14:textId="77777777" w:rsidR="00D504B6" w:rsidRDefault="00000000">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w:t>
      </w:r>
      <w:r>
        <w:lastRenderedPageBreak/>
        <w:t>sample (0.74 Sharpe on 2017-2026 data using parameters chosen from 2009-2016). The edge may shrink but is unlikely to vanish.</w:t>
      </w:r>
    </w:p>
    <w:p w14:paraId="3D3E1EB7" w14:textId="77777777" w:rsidR="00D504B6" w:rsidRDefault="00000000">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14:paraId="132D3829" w14:textId="77777777" w:rsidR="00D504B6" w:rsidRDefault="00000000">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14:paraId="48D04307" w14:textId="77777777" w:rsidR="00D504B6" w:rsidRDefault="00000000">
      <w:r>
        <w:rPr>
          <w:b/>
        </w:rPr>
        <w:t>Dividends.</w:t>
      </w:r>
      <w:r>
        <w:t xml:space="preserve"> All prices in this analysis are dividend-adjusted (Yahoo Finance auto-adjust), meaning returns include reinvested distributions for all instruments. SPY pays approximately 1.2% annually in dividends; UPRO pays smaller quarterly distributions (~0.8% annually). Both are captured in the data. When a timing strategy is holding UPRO, returns include UPRO's distributions; when in cash, the portfolio earns the T-bill rate. This is an apples-to-apples comparison: both UPRO buy-and-hold and the timing strategies reflect total returns.</w:t>
      </w:r>
    </w:p>
    <w:p w14:paraId="78A83DFA" w14:textId="77777777" w:rsidR="00D504B6" w:rsidRDefault="00000000">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14:paraId="695EA93D" w14:textId="77777777" w:rsidR="00D504B6" w:rsidRDefault="00000000">
      <w:pPr>
        <w:pStyle w:val="Heading1"/>
      </w:pPr>
      <w:r>
        <w:t>Conclusion</w:t>
      </w:r>
    </w:p>
    <w:p w14:paraId="6F8F6817" w14:textId="77777777" w:rsidR="00D504B6" w:rsidRDefault="00000000">
      <w:r>
        <w:t>Over the 2009-2026 test period, simple drawdown-triggered exits meaningfully improved UPRO's risk profile without exotic indicators, frequent trading, or complex portfolio construction. The DD25%/Cool40 rule -- exit at a 25% drawdown, wait 40 trading days before re-entering -- delivered a 0.85 Sharpe ratio while cutting the maximum drawdown from -77% to -42%.</w:t>
      </w:r>
    </w:p>
    <w:p w14:paraId="6B993FE0" w14:textId="77777777" w:rsidR="00D504B6" w:rsidRDefault="00000000">
      <w:r>
        <w:t>Parking idle cash in TLT during cooling periods pushes the result further: a 0.88 Sharpe ratio, $10.4M terminal wealth (beating buy-and-hold's $9.5M), and a -55% max drawdown. Block-bootstrap analysis (10,000 iterations reshuffling paired 20-day blocks of UPRO/TLT returns and re-running the DD exit strategy on each synthetic path) shows both variants produce positive Sharpe in 99.8%+ of simulations -- confirming the strategy's risk-adjusted edge is real, not a lucky accident. However, TLT's median bootstrapped Sharpe (0.72) is essentially equal to T-bill's (0.73), meaning TLT's historical advantage (0.88 vs 0.85) depends on the specific sequencing of flight-to-quality episodes during 2009-2026 rather than a structural edge that generalizes to arbitrary return orderings. The TLT variant exploits the flight-to-quality effect -- when stocks crash, long-term Treasuries tend to rally -- turning the cooling period from dead time into a productive hedge. But investors should understand that this benefit is regime-conditional: it works when equity drawdowns coincide with bond rallies (2011, 2018, 2020), not when both assets fall together (2022).</w:t>
      </w:r>
    </w:p>
    <w:p w14:paraId="71346896" w14:textId="77777777" w:rsidR="00D504B6" w:rsidRDefault="00000000">
      <w:r>
        <w:lastRenderedPageBreak/>
        <w:t>The trade-off is explicit. The T-bill variant caps max drawdown at -42% but gives up about 12% of buy-and-hold's terminal wealth. The TLT variant beats buy-and-hold on wealth but accepts a -55% max drawdown. Pick the one that matches your risk tolerance.</w:t>
      </w:r>
    </w:p>
    <w:p w14:paraId="029D3835" w14:textId="77777777" w:rsidR="00D504B6" w:rsidRDefault="00000000">
      <w:r>
        <w:t>Robustness testing paints a mixed but honest picture. On the encouraging side: the DD25%/Cool40 parameters sit in a broad plateau of strong performance (not a fragile peak), walk-forward validation suggests the approach works out-of-sample, and exit diagnostics confirm the 25% trigger identifies genuine SPY stress episodes. On the cautionary side: block-bootstrap analysis shows the strategy beats buy-and-hold on Sharpe in only 36% of randomly reordered return histories, meaning the Sharpe advantage is regime-conditional -- it depends on the specific pattern of bull runs followed by sharp corrections that characterized 2009-2026. The strategy is a useful practical overlay for regimes resembling recent history, not evidence of a regime-invariant alpha source.</w:t>
      </w:r>
    </w:p>
    <w:p w14:paraId="64820A84" w14:textId="77777777" w:rsidR="00D504B6" w:rsidRDefault="00000000">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14:paraId="6BDA4BCF" w14:textId="77777777" w:rsidR="00D504B6" w:rsidRDefault="00000000">
      <w:r>
        <w:t>The real value of a timing strategy isn't the extra Sharpe points. It's the ability to sleep at night during a crash, knowing you have a plan and the discipline to follow it.</w:t>
      </w:r>
    </w:p>
    <w:p w14:paraId="309B3D96" w14:textId="77777777" w:rsidR="00D504B6" w:rsidRDefault="00000000">
      <w:r>
        <w:rPr>
          <w:i/>
          <w:color w:val="666666"/>
          <w:sz w:val="20"/>
        </w:rPr>
        <w:t>Disclosure: I/we are long SPY (5,000+ shares across multiple accounts) and hold deep in-the-money SPY and QQQ LEAPS calls. I do not hold UPRO, SSO, TMF, or any other leveraged ETF.</w:t>
      </w:r>
    </w:p>
    <w:p w14:paraId="4E9660DC" w14:textId="77777777" w:rsidR="00D504B6" w:rsidRDefault="00000000">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14:paraId="7A0EA8B1" w14:textId="77777777" w:rsidR="00D504B6" w:rsidRDefault="00000000">
      <w:r>
        <w:rPr>
          <w:i/>
          <w:color w:val="666666"/>
          <w:sz w:val="20"/>
        </w:rPr>
        <w:t>The analysis uses historical data from 1950 (for extended S&amp;P 500 analysis) and June 2009 (for UPRO-specific results) through March 2026. Past performance does not guarantee future results. This article is for informational purposes only and does not constitute investment advice.</w:t>
      </w:r>
    </w:p>
    <w:sectPr w:rsidR="00D504B6"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661465">
    <w:abstractNumId w:val="8"/>
  </w:num>
  <w:num w:numId="2" w16cid:durableId="925115560">
    <w:abstractNumId w:val="6"/>
  </w:num>
  <w:num w:numId="3" w16cid:durableId="954484341">
    <w:abstractNumId w:val="5"/>
  </w:num>
  <w:num w:numId="4" w16cid:durableId="768160176">
    <w:abstractNumId w:val="4"/>
  </w:num>
  <w:num w:numId="5" w16cid:durableId="1450733612">
    <w:abstractNumId w:val="7"/>
  </w:num>
  <w:num w:numId="6" w16cid:durableId="1755513935">
    <w:abstractNumId w:val="3"/>
  </w:num>
  <w:num w:numId="7" w16cid:durableId="551817515">
    <w:abstractNumId w:val="2"/>
  </w:num>
  <w:num w:numId="8" w16cid:durableId="1510561675">
    <w:abstractNumId w:val="1"/>
  </w:num>
  <w:num w:numId="9" w16cid:durableId="1847090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096A"/>
    <w:rsid w:val="0015074B"/>
    <w:rsid w:val="0029639D"/>
    <w:rsid w:val="00326F90"/>
    <w:rsid w:val="00611821"/>
    <w:rsid w:val="006A4094"/>
    <w:rsid w:val="00AA1D8D"/>
    <w:rsid w:val="00B47730"/>
    <w:rsid w:val="00CB0664"/>
    <w:rsid w:val="00D504B6"/>
    <w:rsid w:val="00DD1B87"/>
    <w:rsid w:val="00F550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958408"/>
  <w14:defaultImageDpi w14:val="300"/>
  <w15:docId w15:val="{99FFAC66-425F-41D8-A2F6-527571702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27</Pages>
  <Words>7994</Words>
  <Characters>45571</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Bill Lamb</cp:lastModifiedBy>
  <cp:revision>3</cp:revision>
  <dcterms:created xsi:type="dcterms:W3CDTF">2013-12-23T23:15:00Z</dcterms:created>
  <dcterms:modified xsi:type="dcterms:W3CDTF">2026-03-11T01:52:00Z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5a2b5f50-9b42-4dda-9c6d-e8983f3be6e6</vt:lpwstr>
  </property>
</Properties>
</file>