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UPRO Without the Wipeout: 5 Timing Strategies That Cut Drawdowns by 40%</w:t>
      </w:r>
    </w:p>
    <w:p>
      <w:pPr>
        <w:pStyle w:val="Heading1"/>
      </w:pPr>
      <w:r>
        <w:t>Summary</w:t>
      </w:r>
    </w:p>
    <w:p>
      <w:pPr>
        <w:pStyle w:val="ListBullet"/>
      </w:pPr>
      <w:r>
        <w:t>UPRO has turned $100K into $10.2M since 2009 -- roughly 100x. But its -77% maximum drawdown means a $1M portfolio drops to $230K, and most investors bail out long before the recovery.</w:t>
      </w:r>
    </w:p>
    <w:p>
      <w:pPr>
        <w:pStyle w:val="ListBullet"/>
      </w:pPr>
      <w:r>
        <w:t>A leverage comparison reveals UPRO's hidden costs: a frictionless 3x position would have returned $22.6M, while 3x via margin yields only $3.1M. A static margin account avoids the -77% drawdown but would be margin-called in any period that doesn't start at a market bottom.</w:t>
      </w:r>
    </w:p>
    <w:p>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pPr>
        <w:pStyle w:val="ListBullet"/>
      </w:pPr>
      <w:r>
        <w:t>The best risk-adjusted strategy -- a simple drawdown exit with a cooling period -- delivered a 0.90 Sharpe ratio and cut the maximum drawdown from -77% to -42%, at the cost of about 12% less terminal wealth. Robustness testing (walk-forward validation, parameter heatmaps, and a synthetic pre-2009 stress test) confirms the result is not a fragile optimum.</w:t>
      </w:r>
    </w:p>
    <w:p>
      <w:pPr>
        <w:pStyle w:val="Heading1"/>
      </w:pPr>
      <w:r>
        <w:t>The Problem With UPRO</w:t>
      </w:r>
    </w:p>
    <w:p>
      <w:r>
        <w:t>UPRO is one of the most striking backtests in retail investing. Since its inception on June 23, 2009, a $100,000 investment has grown to approximately $10.2 million. That's a 32.0% compound annual growth rate over 16+ years. No mainstream ETF comes close.</w:t>
      </w:r>
    </w:p>
    <w:p>
      <w:r>
        <w:t xml:space="preserve">You already know the catch. UPRO provides 3x daily leveraged exposure to the S&amp;P 500, and that leverage cuts both ways. During the COVID crash in March 2020, UPRO lost roughly two-thirds of its value in weeks. During the 2022 rate-hiking cycle, it drew down brutally. Over the full test period, UPRO's maximum drawdown was </w:t>
      </w:r>
      <w:r>
        <w:rPr>
          <w:b/>
        </w:rPr>
        <w:t>-76.8%</w:t>
      </w:r>
      <w:r>
        <w:t>. That's not a typo.</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This article asks a simple question: can we systematically reduce UPRO's drawdowns while keeping most of the upside? Not a magic system -- a risk management framework. I tested five approaches, each using a different market signal, across 16+ years of actual UPRO price data. The results are instructive.</w:t>
      </w:r>
    </w:p>
    <w:p>
      <w:r>
        <w:t>A quick note on mechanics: UPRO resets its 3x leverage daily, which means it's subject to volatility decay. In a choppy, sideways market, UPRO can lose money even if the S&amp;P 500 ends up flat. This is not a set-and-forget instrument, regardless of what the long-term backtest suggests.</w:t>
      </w:r>
    </w:p>
    <w:p>
      <w:pPr>
        <w:pStyle w:val="Heading1"/>
      </w:pPr>
      <w:r>
        <w:t>What I Tested</w:t>
      </w:r>
    </w:p>
    <w:p>
      <w:r>
        <w:t>I used actual UPRO daily prices from inception (June 23, 2009) through March 2026 -- over 16 years. Starting capital was $100,000. When a strategy signals "out," the portfolio moves to cash earning the prevailing 13-week T-bill rate (a realistic assumption reflecting money market fund yields).</w:t>
      </w:r>
    </w:p>
    <w:p>
      <w:r>
        <w:rPr>
          <w:b/>
        </w:rPr>
        <w:t>Methodology Note:</w:t>
      </w:r>
    </w:p>
    <w:p>
      <w:pPr>
        <w:pStyle w:val="ListBullet"/>
      </w:pPr>
      <w:r>
        <w:rPr>
          <w:b/>
        </w:rPr>
        <w:t>Data:</w:t>
      </w:r>
      <w:r>
        <w:t xml:space="preserve"> Yahoo Finance, split-adjusted (auto_adjust), price returns only. Dividends are excluded, which is a conservative assumption -- actual returns for SPY would be modestly higher.</w:t>
      </w:r>
    </w:p>
    <w:p>
      <w:pPr>
        <w:pStyle w:val="ListBullet"/>
      </w:pPr>
      <w:r>
        <w:rPr>
          <w:b/>
        </w:rPr>
        <w:t>Execution:</w:t>
      </w:r>
      <w:r>
        <w:t xml:space="preserve"> All signals use prior-day closing data, with trades executed at the following market open. There is no look-ahead bias and no same-day execution.</w:t>
      </w:r>
    </w:p>
    <w:p>
      <w:pPr>
        <w:pStyle w:val="ListBullet"/>
      </w:pPr>
      <w:r>
        <w:rPr>
          <w:b/>
        </w:rPr>
        <w:t>Cash yield:</w:t>
      </w:r>
      <w:r>
        <w:t xml:space="preserve"> Cash earns the prevailing 13-week T-bill rate (^IRX), compounded daily.</w:t>
      </w:r>
    </w:p>
    <w:p>
      <w:pPr>
        <w:pStyle w:val="ListBullet"/>
      </w:pPr>
      <w:r>
        <w:rPr>
          <w:b/>
        </w:rPr>
        <w:t>Slippage:</w:t>
      </w:r>
      <w:r>
        <w:t xml:space="preserve"> Not modeled. UPRO, SPY, and the other ETFs tested are large-cap, high-volume instruments with tight bid-ask spreads. Slippage on market-on-open orders would be minimal.</w:t>
      </w:r>
    </w:p>
    <w:p>
      <w:pPr>
        <w:pStyle w:val="ListBullet"/>
      </w:pPr>
      <w:r>
        <w:rPr>
          <w:b/>
        </w:rPr>
        <w:t>No intraday stops:</w:t>
      </w:r>
      <w:r>
        <w:t xml:space="preserve"> All signals are end-of-day close-based. No intraday monitoring is required.</w:t>
      </w:r>
    </w:p>
    <w:p>
      <w:r>
        <w:t>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Calmar ratio, maximum drawdown, number of trade signals, and percentage of time invested.</w:t>
      </w:r>
    </w:p>
    <w:p>
      <w:pPr>
        <w:pStyle w:val="Heading1"/>
      </w:pPr>
      <w:r>
        <w:t>The Benchmark: UPRO Buy-and-Hold</w:t>
      </w:r>
    </w:p>
    <w:p>
      <w:r>
        <w:t>First, let's be clear about what we're trying to beat -- and what we're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$10,161,336</w:t>
            </w:r>
          </w:p>
        </w:tc>
      </w:tr>
      <w:tr>
        <w:tc>
          <w:tcPr>
            <w:tcW w:type="dxa" w:w="4392"/>
          </w:tcPr>
          <w:p>
            <w:pPr>
              <w:jc w:val="left"/>
            </w:pPr>
            <w:r>
              <w:rPr>
                <w:sz w:val="18"/>
              </w:rPr>
              <w:t>CAGR</w:t>
            </w:r>
          </w:p>
        </w:tc>
        <w:tc>
          <w:tcPr>
            <w:tcW w:type="dxa" w:w="4392"/>
          </w:tcPr>
          <w:p>
            <w:pPr>
              <w:jc w:val="center"/>
            </w:pPr>
            <w:r>
              <w:rPr>
                <w:sz w:val="18"/>
              </w:rPr>
              <w:t>+32.0%</w:t>
            </w:r>
          </w:p>
        </w:tc>
      </w:tr>
      <w:tr>
        <w:tc>
          <w:tcPr>
            <w:tcW w:type="dxa" w:w="4392"/>
          </w:tcPr>
          <w:p>
            <w:pPr>
              <w:jc w:val="left"/>
            </w:pPr>
            <w:r>
              <w:rPr>
                <w:sz w:val="18"/>
              </w:rPr>
              <w:t>Sharpe Ratio</w:t>
            </w:r>
          </w:p>
        </w:tc>
        <w:tc>
          <w:tcPr>
            <w:tcW w:type="dxa" w:w="4392"/>
          </w:tcPr>
          <w:p>
            <w:pPr>
              <w:jc w:val="center"/>
            </w:pPr>
            <w:r>
              <w:rPr>
                <w:sz w:val="18"/>
              </w:rPr>
              <w:t>0.80</w:t>
            </w:r>
          </w:p>
        </w:tc>
      </w:tr>
      <w:tr>
        <w:tc>
          <w:tcPr>
            <w:tcW w:type="dxa" w:w="4392"/>
          </w:tcPr>
          <w:p>
            <w:pPr>
              <w:jc w:val="left"/>
            </w:pPr>
            <w:r>
              <w:rPr>
                <w:sz w:val="18"/>
              </w:rPr>
              <w:t>Sortino Ratio</w:t>
            </w:r>
          </w:p>
        </w:tc>
        <w:tc>
          <w:tcPr>
            <w:tcW w:type="dxa" w:w="4392"/>
          </w:tcPr>
          <w:p>
            <w:pPr>
              <w:jc w:val="center"/>
            </w:pPr>
            <w:r>
              <w:rPr>
                <w:sz w:val="18"/>
              </w:rPr>
              <w:t>0.99</w:t>
            </w:r>
          </w:p>
        </w:tc>
      </w:tr>
      <w:tr>
        <w:tc>
          <w:tcPr>
            <w:tcW w:type="dxa" w:w="4392"/>
          </w:tcPr>
          <w:p>
            <w:pPr>
              <w:jc w:val="left"/>
            </w:pPr>
            <w:r>
              <w:rPr>
                <w:sz w:val="18"/>
              </w:rPr>
              <w:t>Calmar Ratio</w:t>
            </w:r>
          </w:p>
        </w:tc>
        <w:tc>
          <w:tcPr>
            <w:tcW w:type="dxa" w:w="4392"/>
          </w:tcPr>
          <w:p>
            <w:pPr>
              <w:jc w:val="center"/>
            </w:pPr>
            <w:r>
              <w:rPr>
                <w:sz w:val="18"/>
              </w:rPr>
              <w:t>0.42</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r>
        <w:t>These are extraordinary numbers. No timing strategy in this analysis beats buy-and-hold on total return. If you have the iron stomach to hold through a -77% drawdown -- and I mean genuinely hold, not just say you would in a hypothetical -- then buy-and-hold is the mathematically optimal choice.</w:t>
      </w:r>
    </w:p>
    <w:p>
      <w:r>
        <w:t>But an important caveat: this test period is overwhelmingly bullish. UPRO's inception happened to coincide with the beginning of the longest bull market in American history. Every timing strategy that says "hold UPRO most of the time" will look great in a period that is almost entirely up. We don't have actual UPRO data for 2000-2009, which would have been devastating. (We address this with a synthetic backtest in the robustness section below.)</w:t>
      </w:r>
    </w:p>
    <w:p>
      <w:r>
        <w:t>The major drawdown events visible in the data -- the 2011 debt ceiling crisis, the late-2018 Fed tightening scare, the 2020 COVID crash, and the 2022 rate-hiking bear market -- each inflicted serious damage on UPRO holders. The question is whether we can navigate those periods more gracefully.</w:t>
      </w:r>
    </w:p>
    <w:p>
      <w:pPr>
        <w:pStyle w:val="Heading1"/>
      </w:pPr>
      <w:r>
        <w:t>The Cost of Daily Leverage: UPRO vs. Synthetic 3x SPY</w:t>
      </w:r>
    </w:p>
    <w:p>
      <w:r>
        <w:t>Before we get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$1,003,640</w:t>
            </w:r>
          </w:p>
        </w:tc>
        <w:tc>
          <w:tcPr>
            <w:tcW w:type="dxa" w:w="1464"/>
          </w:tcPr>
          <w:p>
            <w:pPr>
              <w:jc w:val="center"/>
            </w:pPr>
            <w:r>
              <w:rPr>
                <w:sz w:val="18"/>
              </w:rPr>
              <w:t>+14.9%</w:t>
            </w:r>
          </w:p>
        </w:tc>
        <w:tc>
          <w:tcPr>
            <w:tcW w:type="dxa" w:w="1464"/>
          </w:tcPr>
          <w:p>
            <w:pPr>
              <w:jc w:val="center"/>
            </w:pPr>
            <w:r>
              <w:rPr>
                <w:sz w:val="18"/>
              </w:rPr>
              <w:t>0.89</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$22,628,688</w:t>
            </w:r>
          </w:p>
        </w:tc>
        <w:tc>
          <w:tcPr>
            <w:tcW w:type="dxa" w:w="1464"/>
          </w:tcPr>
          <w:p>
            <w:pPr>
              <w:jc w:val="center"/>
            </w:pPr>
            <w:r>
              <w:rPr>
                <w:sz w:val="18"/>
              </w:rPr>
              <w:t>+38.5%</w:t>
            </w:r>
          </w:p>
        </w:tc>
        <w:tc>
          <w:tcPr>
            <w:tcW w:type="dxa" w:w="1464"/>
          </w:tcPr>
          <w:p>
            <w:pPr>
              <w:jc w:val="center"/>
            </w:pPr>
            <w:r>
              <w:rPr>
                <w:sz w:val="18"/>
              </w:rPr>
              <w:t>0.89</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$3,072,894</w:t>
            </w:r>
          </w:p>
        </w:tc>
        <w:tc>
          <w:tcPr>
            <w:tcW w:type="dxa" w:w="1464"/>
          </w:tcPr>
          <w:p>
            <w:pPr>
              <w:jc w:val="center"/>
            </w:pPr>
            <w:r>
              <w:rPr>
                <w:sz w:val="18"/>
              </w:rPr>
              <w:t>+22.8%</w:t>
            </w:r>
          </w:p>
        </w:tc>
        <w:tc>
          <w:tcPr>
            <w:tcW w:type="dxa" w:w="1464"/>
          </w:tcPr>
          <w:p>
            <w:pPr>
              <w:jc w:val="center"/>
            </w:pPr>
            <w:r>
              <w:rPr>
                <w:sz w:val="18"/>
              </w:rPr>
              <w:t>0.66</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$2,467,976</w:t>
            </w:r>
          </w:p>
        </w:tc>
        <w:tc>
          <w:tcPr>
            <w:tcW w:type="dxa" w:w="1464"/>
          </w:tcPr>
          <w:p>
            <w:pPr>
              <w:jc w:val="center"/>
            </w:pPr>
            <w:r>
              <w:rPr>
                <w:sz w:val="18"/>
              </w:rPr>
              <w:t>+21.2%</w:t>
            </w:r>
          </w:p>
        </w:tc>
        <w:tc>
          <w:tcPr>
            <w:tcW w:type="dxa" w:w="1464"/>
          </w:tcPr>
          <w:p>
            <w:pPr>
              <w:jc w:val="center"/>
            </w:pPr>
            <w:r>
              <w:rPr>
                <w:sz w:val="18"/>
              </w:rPr>
              <w:t>0.81</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$10,161,336</w:t>
            </w:r>
          </w:p>
        </w:tc>
        <w:tc>
          <w:tcPr>
            <w:tcW w:type="dxa" w:w="1464"/>
          </w:tcPr>
          <w:p>
            <w:pPr>
              <w:jc w:val="center"/>
            </w:pPr>
            <w:r>
              <w:rPr>
                <w:sz w:val="18"/>
              </w:rPr>
              <w:t>+32.0%</w:t>
            </w:r>
          </w:p>
        </w:tc>
        <w:tc>
          <w:tcPr>
            <w:tcW w:type="dxa" w:w="1464"/>
          </w:tcPr>
          <w:p>
            <w:pPr>
              <w:jc w:val="center"/>
            </w:pPr>
            <w:r>
              <w:rPr>
                <w:sz w:val="18"/>
              </w:rPr>
              <w:t>0.80</w:t>
            </w:r>
          </w:p>
        </w:tc>
        <w:tc>
          <w:tcPr>
            <w:tcW w:type="dxa" w:w="1464"/>
          </w:tcPr>
          <w:p>
            <w:pPr>
              <w:jc w:val="center"/>
            </w:pPr>
            <w:r>
              <w:rPr>
                <w:sz w:val="18"/>
              </w:rPr>
              <w:t>-76.8%</w:t>
            </w:r>
          </w:p>
        </w:tc>
        <w:tc>
          <w:tcPr>
            <w:tcW w:type="dxa" w:w="1464"/>
          </w:tcPr>
          <w:p>
            <w:pPr>
              <w:jc w:val="center"/>
            </w:pPr>
            <w:r>
              <w:rPr>
                <w:sz w:val="18"/>
              </w:rPr>
              <w:t>Actual ETF</w:t>
            </w:r>
          </w:p>
        </w:tc>
      </w:tr>
    </w:tbl>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$22.6M vs UPRO's $10.2M. That $12.4M gap is the cumulative cost of UPRO's 0.89% expense ratio, rebalancing slippage, and tracking error over 16+ years. Yet UPRO still crushes margin-based leverage ($3.1M for daily-rebalanced, $2.5M for static) because its embedded borrowing costs are far lower than 6% margin rates.</w:t>
      </w:r>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2_leverage_comparison.png"/>
                    <pic:cNvPicPr/>
                  </pic:nvPicPr>
                  <pic:blipFill>
                    <a:blip r:embed="rId9"/>
                    <a:stretch>
                      <a:fillRect/>
                    </a:stretch>
                  </pic:blipFill>
                  <pic:spPr>
                    <a:xfrm>
                      <a:off x="0" y="0"/>
                      <a:ext cx="5486400" cy="3267431"/>
                    </a:xfrm>
                    <a:prstGeom prst="rect"/>
                  </pic:spPr>
                </pic:pic>
              </a:graphicData>
            </a:graphic>
          </wp:inline>
        </w:drawing>
      </w:r>
    </w:p>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 And even over the full 1950-2026 history, despite the S&amp;P 500 compounding at +8.2% annually for 76 years, the static 3x account got margin-called during the 1973-74 bear market and was stuck at $269K for the remaining 52 years while unlevered S&amp;P 500 grew to $41.3 million.</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r>
        <w:t>The frictionless 3x is extraordinary over 76 years -- $100K becomes $20.0 billion -- but it's a fantasy: no one can maintain 3x leverage for free. Add realistic 6% borrowing costs and $100K grows to just $2.2M over 76 years, barely keeping pace with the S&amp;P 500's $41.3M at 1x. During the lost decade,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pPr>
        <w:pStyle w:val="Heading1"/>
      </w:pPr>
      <w:r>
        <w:t>Results: Strategy by Strategy</w:t>
      </w:r>
    </w:p>
    <w:p>
      <w:pPr>
        <w:pStyle w:val="Heading2"/>
      </w:pPr>
      <w:r>
        <w:t>VIX-Based Regime Filter</w:t>
      </w:r>
    </w:p>
    <w:p>
      <w:r>
        <w:t>The simplest idea: when the market is scared, step aside.</w:t>
      </w:r>
    </w:p>
    <w:p>
      <w:r>
        <w:t>The problem is that VIX is reactive, not predictive. By the time VIX spikes above 25, you've already taken the first leg of the drawdown. And VIX often stays elevated during the early stages of recovery, causing you to miss the bounce.</w:t>
      </w:r>
    </w:p>
    <w:p>
      <w:r>
        <w:t>The best VIX variant (VIX &lt; 30) produced a $4.3M end value with a 0.75 Sharpe and -68.9% max drawdown. You sacrifice more than half the terminal wealth for a max drawdown that's only 8 percentage points better. The threshold barely filters anything -- VIX is below 30 about 94% of the time -- so you get almost all of the downside with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$607K. CAGR: +11.4%. Sharpe: 0.50. Max drawdown: -56.6%. Only invested 63% of the time, with 76 trade signals.</w:t>
      </w:r>
    </w:p>
    <w:p>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wealth drops by over 94%. And 76 trade signals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$3.3M. CAGR: +23.5%. Sharpe: 0.88. Sortino: 1.14. Max drawdown: -70.5%. The 67 "trades" are quarterly rebalancing events (adjusting the 55/45 allocation every ~63 trading days), not 67 round-trip trades.</w:t>
      </w:r>
    </w:p>
    <w:p>
      <w:r>
        <w:t>HFEA actually has the best Sortino ratio in the entire analysis -- meaning it handles downside volatility particularly well relative to its upside. But the max drawdown is still -70%,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Winner</w:t>
      </w:r>
    </w:p>
    <w:p>
      <w:r>
        <w:t>This is the simplest concept and it produced the best risk-adjusted results. The rule: when UPRO falls X% from its all-time high, sell everything and move to cash (earning T-bill rates).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$692K</w:t>
            </w:r>
          </w:p>
        </w:tc>
        <w:tc>
          <w:tcPr>
            <w:tcW w:type="dxa" w:w="1255"/>
          </w:tcPr>
          <w:p>
            <w:pPr>
              <w:jc w:val="center"/>
            </w:pPr>
            <w:r>
              <w:rPr>
                <w:sz w:val="18"/>
              </w:rPr>
              <w:t>+12.3%</w:t>
            </w:r>
          </w:p>
        </w:tc>
        <w:tc>
          <w:tcPr>
            <w:tcW w:type="dxa" w:w="1255"/>
          </w:tcPr>
          <w:p>
            <w:pPr>
              <w:jc w:val="center"/>
            </w:pPr>
            <w:r>
              <w:rPr>
                <w:sz w:val="18"/>
              </w:rPr>
              <w:t>0.52</w:t>
            </w:r>
          </w:p>
        </w:tc>
        <w:tc>
          <w:tcPr>
            <w:tcW w:type="dxa" w:w="1255"/>
          </w:tcPr>
          <w:p>
            <w:pPr>
              <w:jc w:val="center"/>
            </w:pPr>
            <w:r>
              <w:rPr>
                <w:sz w:val="18"/>
              </w:rPr>
              <w:t>-55.9%</w:t>
            </w:r>
          </w:p>
        </w:tc>
        <w:tc>
          <w:tcPr>
            <w:tcW w:type="dxa" w:w="1255"/>
          </w:tcPr>
          <w:p>
            <w:pPr>
              <w:jc w:val="center"/>
            </w:pPr>
            <w:r>
              <w:rPr>
                <w:sz w:val="18"/>
              </w:rPr>
              <w:t>155</w:t>
            </w:r>
          </w:p>
        </w:tc>
        <w:tc>
          <w:tcPr>
            <w:tcW w:type="dxa" w:w="1255"/>
          </w:tcPr>
          <w:p>
            <w:pPr>
              <w:jc w:val="center"/>
            </w:pPr>
            <w:r>
              <w:rPr>
                <w:sz w:val="18"/>
              </w:rPr>
              <w:t>71%</w:t>
            </w:r>
          </w:p>
        </w:tc>
      </w:tr>
      <w:tr>
        <w:tc>
          <w:tcPr>
            <w:tcW w:type="dxa" w:w="1255"/>
          </w:tcPr>
          <w:p>
            <w:pPr>
              <w:jc w:val="left"/>
            </w:pPr>
            <w:r>
              <w:rPr>
                <w:sz w:val="18"/>
              </w:rPr>
              <w:t>DD10%/Cool40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0.76</w:t>
            </w:r>
          </w:p>
        </w:tc>
        <w:tc>
          <w:tcPr>
            <w:tcW w:type="dxa" w:w="1255"/>
          </w:tcPr>
          <w:p>
            <w:pPr>
              <w:jc w:val="center"/>
            </w:pPr>
            <w:r>
              <w:rPr>
                <w:sz w:val="18"/>
              </w:rPr>
              <w:t>-52.4%</w:t>
            </w:r>
          </w:p>
        </w:tc>
        <w:tc>
          <w:tcPr>
            <w:tcW w:type="dxa" w:w="1255"/>
          </w:tcPr>
          <w:p>
            <w:pPr>
              <w:jc w:val="center"/>
            </w:pPr>
            <w:r>
              <w:rPr>
                <w:sz w:val="18"/>
              </w:rPr>
              <w:t>119</w:t>
            </w:r>
          </w:p>
        </w:tc>
        <w:tc>
          <w:tcPr>
            <w:tcW w:type="dxa" w:w="1255"/>
          </w:tcPr>
          <w:p>
            <w:pPr>
              <w:jc w:val="center"/>
            </w:pPr>
            <w:r>
              <w:rPr>
                <w:sz w:val="18"/>
              </w:rPr>
              <w:t>63%</w:t>
            </w:r>
          </w:p>
        </w:tc>
      </w:tr>
      <w:tr>
        <w:tc>
          <w:tcPr>
            <w:tcW w:type="dxa" w:w="1255"/>
          </w:tcPr>
          <w:p>
            <w:pPr>
              <w:jc w:val="left"/>
            </w:pPr>
            <w:r>
              <w:rPr>
                <w:sz w:val="18"/>
              </w:rPr>
              <w:t>DD10%/Cool60</w:t>
            </w:r>
          </w:p>
        </w:tc>
        <w:tc>
          <w:tcPr>
            <w:tcW w:type="dxa" w:w="1255"/>
          </w:tcPr>
          <w:p>
            <w:pPr>
              <w:jc w:val="center"/>
            </w:pPr>
            <w:r>
              <w:rPr>
                <w:sz w:val="18"/>
              </w:rPr>
              <w:t>$1.6M</w:t>
            </w:r>
          </w:p>
        </w:tc>
        <w:tc>
          <w:tcPr>
            <w:tcW w:type="dxa" w:w="1255"/>
          </w:tcPr>
          <w:p>
            <w:pPr>
              <w:jc w:val="center"/>
            </w:pPr>
            <w:r>
              <w:rPr>
                <w:sz w:val="18"/>
              </w:rPr>
              <w:t>+17.9%</w:t>
            </w:r>
          </w:p>
        </w:tc>
        <w:tc>
          <w:tcPr>
            <w:tcW w:type="dxa" w:w="1255"/>
          </w:tcPr>
          <w:p>
            <w:pPr>
              <w:jc w:val="center"/>
            </w:pPr>
            <w:r>
              <w:rPr>
                <w:sz w:val="18"/>
              </w:rPr>
              <w:t>0.75</w:t>
            </w:r>
          </w:p>
        </w:tc>
        <w:tc>
          <w:tcPr>
            <w:tcW w:type="dxa" w:w="1255"/>
          </w:tcPr>
          <w:p>
            <w:pPr>
              <w:jc w:val="center"/>
            </w:pPr>
            <w:r>
              <w:rPr>
                <w:sz w:val="18"/>
              </w:rPr>
              <w:t>-45.1%</w:t>
            </w:r>
          </w:p>
        </w:tc>
        <w:tc>
          <w:tcPr>
            <w:tcW w:type="dxa" w:w="1255"/>
          </w:tcPr>
          <w:p>
            <w:pPr>
              <w:jc w:val="center"/>
            </w:pPr>
            <w:r>
              <w:rPr>
                <w:sz w:val="18"/>
              </w:rPr>
              <w:t>103</w:t>
            </w:r>
          </w:p>
        </w:tc>
        <w:tc>
          <w:tcPr>
            <w:tcW w:type="dxa" w:w="1255"/>
          </w:tcPr>
          <w:p>
            <w:pPr>
              <w:jc w:val="center"/>
            </w:pPr>
            <w:r>
              <w:rPr>
                <w:sz w:val="18"/>
              </w:rPr>
              <w:t>58%</w:t>
            </w:r>
          </w:p>
        </w:tc>
      </w:tr>
      <w:tr>
        <w:tc>
          <w:tcPr>
            <w:tcW w:type="dxa" w:w="1255"/>
          </w:tcPr>
          <w:p>
            <w:pPr>
              <w:jc w:val="left"/>
            </w:pPr>
            <w:r>
              <w:rPr>
                <w:sz w:val="18"/>
              </w:rPr>
              <w:t>DD15%/Cool20</w:t>
            </w:r>
          </w:p>
        </w:tc>
        <w:tc>
          <w:tcPr>
            <w:tcW w:type="dxa" w:w="1255"/>
          </w:tcPr>
          <w:p>
            <w:pPr>
              <w:jc w:val="center"/>
            </w:pPr>
            <w:r>
              <w:rPr>
                <w:sz w:val="18"/>
              </w:rPr>
              <w:t>$1.5M</w:t>
            </w:r>
          </w:p>
        </w:tc>
        <w:tc>
          <w:tcPr>
            <w:tcW w:type="dxa" w:w="1255"/>
          </w:tcPr>
          <w:p>
            <w:pPr>
              <w:jc w:val="center"/>
            </w:pPr>
            <w:r>
              <w:rPr>
                <w:sz w:val="18"/>
              </w:rPr>
              <w:t>+17.5%</w:t>
            </w:r>
          </w:p>
        </w:tc>
        <w:tc>
          <w:tcPr>
            <w:tcW w:type="dxa" w:w="1255"/>
          </w:tcPr>
          <w:p>
            <w:pPr>
              <w:jc w:val="center"/>
            </w:pPr>
            <w:r>
              <w:rPr>
                <w:sz w:val="18"/>
              </w:rPr>
              <w:t>0.62</w:t>
            </w:r>
          </w:p>
        </w:tc>
        <w:tc>
          <w:tcPr>
            <w:tcW w:type="dxa" w:w="1255"/>
          </w:tcPr>
          <w:p>
            <w:pPr>
              <w:jc w:val="center"/>
            </w:pPr>
            <w:r>
              <w:rPr>
                <w:sz w:val="18"/>
              </w:rPr>
              <w:t>-50.1%</w:t>
            </w:r>
          </w:p>
        </w:tc>
        <w:tc>
          <w:tcPr>
            <w:tcW w:type="dxa" w:w="1255"/>
          </w:tcPr>
          <w:p>
            <w:pPr>
              <w:jc w:val="center"/>
            </w:pPr>
            <w:r>
              <w:rPr>
                <w:sz w:val="18"/>
              </w:rPr>
              <w:t>91</w:t>
            </w:r>
          </w:p>
        </w:tc>
        <w:tc>
          <w:tcPr>
            <w:tcW w:type="dxa" w:w="1255"/>
          </w:tcPr>
          <w:p>
            <w:pPr>
              <w:jc w:val="center"/>
            </w:pPr>
            <w:r>
              <w:rPr>
                <w:sz w:val="18"/>
              </w:rPr>
              <w:t>81%</w:t>
            </w:r>
          </w:p>
        </w:tc>
      </w:tr>
      <w:tr>
        <w:tc>
          <w:tcPr>
            <w:tcW w:type="dxa" w:w="1255"/>
          </w:tcPr>
          <w:p>
            <w:pPr>
              <w:jc w:val="left"/>
            </w:pPr>
            <w:r>
              <w:rPr>
                <w:sz w:val="18"/>
              </w:rPr>
              <w:t>DD15%/Cool40</w:t>
            </w:r>
          </w:p>
        </w:tc>
        <w:tc>
          <w:tcPr>
            <w:tcW w:type="dxa" w:w="1255"/>
          </w:tcPr>
          <w:p>
            <w:pPr>
              <w:jc w:val="center"/>
            </w:pPr>
            <w:r>
              <w:rPr>
                <w:sz w:val="18"/>
              </w:rPr>
              <w:t>$2.0M</w:t>
            </w:r>
          </w:p>
        </w:tc>
        <w:tc>
          <w:tcPr>
            <w:tcW w:type="dxa" w:w="1255"/>
          </w:tcPr>
          <w:p>
            <w:pPr>
              <w:jc w:val="center"/>
            </w:pPr>
            <w:r>
              <w:rPr>
                <w:sz w:val="18"/>
              </w:rPr>
              <w:t>+19.6%</w:t>
            </w:r>
          </w:p>
        </w:tc>
        <w:tc>
          <w:tcPr>
            <w:tcW w:type="dxa" w:w="1255"/>
          </w:tcPr>
          <w:p>
            <w:pPr>
              <w:jc w:val="center"/>
            </w:pPr>
            <w:r>
              <w:rPr>
                <w:sz w:val="18"/>
              </w:rPr>
              <w:t>0.70</w:t>
            </w:r>
          </w:p>
        </w:tc>
        <w:tc>
          <w:tcPr>
            <w:tcW w:type="dxa" w:w="1255"/>
          </w:tcPr>
          <w:p>
            <w:pPr>
              <w:jc w:val="center"/>
            </w:pPr>
            <w:r>
              <w:rPr>
                <w:sz w:val="18"/>
              </w:rPr>
              <w:t>-47.9%</w:t>
            </w:r>
          </w:p>
        </w:tc>
        <w:tc>
          <w:tcPr>
            <w:tcW w:type="dxa" w:w="1255"/>
          </w:tcPr>
          <w:p>
            <w:pPr>
              <w:jc w:val="center"/>
            </w:pPr>
            <w:r>
              <w:rPr>
                <w:sz w:val="18"/>
              </w:rPr>
              <w:t>73</w:t>
            </w:r>
          </w:p>
        </w:tc>
        <w:tc>
          <w:tcPr>
            <w:tcW w:type="dxa" w:w="1255"/>
          </w:tcPr>
          <w:p>
            <w:pPr>
              <w:jc w:val="center"/>
            </w:pPr>
            <w:r>
              <w:rPr>
                <w:sz w:val="18"/>
              </w:rPr>
              <w:t>74%</w:t>
            </w:r>
          </w:p>
        </w:tc>
      </w:tr>
      <w:tr>
        <w:tc>
          <w:tcPr>
            <w:tcW w:type="dxa" w:w="1255"/>
          </w:tcPr>
          <w:p>
            <w:pPr>
              <w:jc w:val="left"/>
            </w:pPr>
            <w:r>
              <w:rPr>
                <w:sz w:val="18"/>
              </w:rPr>
              <w:t>DD15%/Cool60</w:t>
            </w:r>
          </w:p>
        </w:tc>
        <w:tc>
          <w:tcPr>
            <w:tcW w:type="dxa" w:w="1255"/>
          </w:tcPr>
          <w:p>
            <w:pPr>
              <w:jc w:val="center"/>
            </w:pPr>
            <w:r>
              <w:rPr>
                <w:sz w:val="18"/>
              </w:rPr>
              <w:t>$441K</w:t>
            </w:r>
          </w:p>
        </w:tc>
        <w:tc>
          <w:tcPr>
            <w:tcW w:type="dxa" w:w="1255"/>
          </w:tcPr>
          <w:p>
            <w:pPr>
              <w:jc w:val="center"/>
            </w:pPr>
            <w:r>
              <w:rPr>
                <w:sz w:val="18"/>
              </w:rPr>
              <w:t>+9.3%</w:t>
            </w:r>
          </w:p>
        </w:tc>
        <w:tc>
          <w:tcPr>
            <w:tcW w:type="dxa" w:w="1255"/>
          </w:tcPr>
          <w:p>
            <w:pPr>
              <w:jc w:val="center"/>
            </w:pPr>
            <w:r>
              <w:rPr>
                <w:sz w:val="18"/>
              </w:rPr>
              <w:t>0.45</w:t>
            </w:r>
          </w:p>
        </w:tc>
        <w:tc>
          <w:tcPr>
            <w:tcW w:type="dxa" w:w="1255"/>
          </w:tcPr>
          <w:p>
            <w:pPr>
              <w:jc w:val="center"/>
            </w:pPr>
            <w:r>
              <w:rPr>
                <w:sz w:val="18"/>
              </w:rPr>
              <w:t>-49.3%</w:t>
            </w:r>
          </w:p>
        </w:tc>
        <w:tc>
          <w:tcPr>
            <w:tcW w:type="dxa" w:w="1255"/>
          </w:tcPr>
          <w:p>
            <w:pPr>
              <w:jc w:val="center"/>
            </w:pPr>
            <w:r>
              <w:rPr>
                <w:sz w:val="18"/>
              </w:rPr>
              <w:t>71</w:t>
            </w:r>
          </w:p>
        </w:tc>
        <w:tc>
          <w:tcPr>
            <w:tcW w:type="dxa" w:w="1255"/>
          </w:tcPr>
          <w:p>
            <w:pPr>
              <w:jc w:val="center"/>
            </w:pPr>
            <w:r>
              <w:rPr>
                <w:sz w:val="18"/>
              </w:rPr>
              <w:t>67%</w:t>
            </w:r>
          </w:p>
        </w:tc>
      </w:tr>
      <w:tr>
        <w:tc>
          <w:tcPr>
            <w:tcW w:type="dxa" w:w="1255"/>
          </w:tcPr>
          <w:p>
            <w:pPr>
              <w:jc w:val="left"/>
            </w:pPr>
            <w:r>
              <w:rPr>
                <w:sz w:val="18"/>
              </w:rPr>
              <w:t>DD20%/Cool20</w:t>
            </w:r>
          </w:p>
        </w:tc>
        <w:tc>
          <w:tcPr>
            <w:tcW w:type="dxa" w:w="1255"/>
          </w:tcPr>
          <w:p>
            <w:pPr>
              <w:jc w:val="center"/>
            </w:pPr>
            <w:r>
              <w:rPr>
                <w:sz w:val="18"/>
              </w:rPr>
              <w:t>$9.9M</w:t>
            </w:r>
          </w:p>
        </w:tc>
        <w:tc>
          <w:tcPr>
            <w:tcW w:type="dxa" w:w="1255"/>
          </w:tcPr>
          <w:p>
            <w:pPr>
              <w:jc w:val="center"/>
            </w:pPr>
            <w:r>
              <w:rPr>
                <w:sz w:val="18"/>
              </w:rPr>
              <w:t>+31.8%</w:t>
            </w:r>
          </w:p>
        </w:tc>
        <w:tc>
          <w:tcPr>
            <w:tcW w:type="dxa" w:w="1255"/>
          </w:tcPr>
          <w:p>
            <w:pPr>
              <w:jc w:val="center"/>
            </w:pPr>
            <w:r>
              <w:rPr>
                <w:sz w:val="18"/>
              </w:rPr>
              <w:t>0.88</w:t>
            </w:r>
          </w:p>
        </w:tc>
        <w:tc>
          <w:tcPr>
            <w:tcW w:type="dxa" w:w="1255"/>
          </w:tcPr>
          <w:p>
            <w:pPr>
              <w:jc w:val="center"/>
            </w:pPr>
            <w:r>
              <w:rPr>
                <w:sz w:val="18"/>
              </w:rPr>
              <w:t>-51.7%</w:t>
            </w:r>
          </w:p>
        </w:tc>
        <w:tc>
          <w:tcPr>
            <w:tcW w:type="dxa" w:w="1255"/>
          </w:tcPr>
          <w:p>
            <w:pPr>
              <w:jc w:val="center"/>
            </w:pPr>
            <w:r>
              <w:rPr>
                <w:sz w:val="18"/>
              </w:rPr>
              <w:t>57</w:t>
            </w:r>
          </w:p>
        </w:tc>
        <w:tc>
          <w:tcPr>
            <w:tcW w:type="dxa" w:w="1255"/>
          </w:tcPr>
          <w:p>
            <w:pPr>
              <w:jc w:val="center"/>
            </w:pPr>
            <w:r>
              <w:rPr>
                <w:sz w:val="18"/>
              </w:rPr>
              <w:t>87%</w:t>
            </w:r>
          </w:p>
        </w:tc>
      </w:tr>
      <w:tr>
        <w:tc>
          <w:tcPr>
            <w:tcW w:type="dxa" w:w="1255"/>
          </w:tcPr>
          <w:p>
            <w:pPr>
              <w:jc w:val="left"/>
            </w:pPr>
            <w:r>
              <w:rPr>
                <w:sz w:val="18"/>
              </w:rPr>
              <w:t>DD20%/Cool40</w:t>
            </w:r>
          </w:p>
        </w:tc>
        <w:tc>
          <w:tcPr>
            <w:tcW w:type="dxa" w:w="1255"/>
          </w:tcPr>
          <w:p>
            <w:pPr>
              <w:jc w:val="center"/>
            </w:pPr>
            <w:r>
              <w:rPr>
                <w:sz w:val="18"/>
              </w:rPr>
              <w:t>$4.0M</w:t>
            </w:r>
          </w:p>
        </w:tc>
        <w:tc>
          <w:tcPr>
            <w:tcW w:type="dxa" w:w="1255"/>
          </w:tcPr>
          <w:p>
            <w:pPr>
              <w:jc w:val="center"/>
            </w:pPr>
            <w:r>
              <w:rPr>
                <w:sz w:val="18"/>
              </w:rPr>
              <w:t>+24.8%</w:t>
            </w:r>
          </w:p>
        </w:tc>
        <w:tc>
          <w:tcPr>
            <w:tcW w:type="dxa" w:w="1255"/>
          </w:tcPr>
          <w:p>
            <w:pPr>
              <w:jc w:val="center"/>
            </w:pPr>
            <w:r>
              <w:rPr>
                <w:sz w:val="18"/>
              </w:rPr>
              <w:t>0.79</w:t>
            </w:r>
          </w:p>
        </w:tc>
        <w:tc>
          <w:tcPr>
            <w:tcW w:type="dxa" w:w="1255"/>
          </w:tcPr>
          <w:p>
            <w:pPr>
              <w:jc w:val="center"/>
            </w:pPr>
            <w:r>
              <w:rPr>
                <w:sz w:val="18"/>
              </w:rPr>
              <w:t>-48.3%</w:t>
            </w:r>
          </w:p>
        </w:tc>
        <w:tc>
          <w:tcPr>
            <w:tcW w:type="dxa" w:w="1255"/>
          </w:tcPr>
          <w:p>
            <w:pPr>
              <w:jc w:val="center"/>
            </w:pPr>
            <w:r>
              <w:rPr>
                <w:sz w:val="18"/>
              </w:rPr>
              <w:t>47</w:t>
            </w:r>
          </w:p>
        </w:tc>
        <w:tc>
          <w:tcPr>
            <w:tcW w:type="dxa" w:w="1255"/>
          </w:tcPr>
          <w:p>
            <w:pPr>
              <w:jc w:val="center"/>
            </w:pPr>
            <w:r>
              <w:rPr>
                <w:sz w:val="18"/>
              </w:rPr>
              <w:t>81%</w:t>
            </w:r>
          </w:p>
        </w:tc>
      </w:tr>
      <w:tr>
        <w:tc>
          <w:tcPr>
            <w:tcW w:type="dxa" w:w="1255"/>
          </w:tcPr>
          <w:p>
            <w:pPr>
              <w:jc w:val="left"/>
            </w:pPr>
            <w:r>
              <w:rPr>
                <w:sz w:val="18"/>
              </w:rPr>
              <w:t>DD20%/Cool60</w:t>
            </w:r>
          </w:p>
        </w:tc>
        <w:tc>
          <w:tcPr>
            <w:tcW w:type="dxa" w:w="1255"/>
          </w:tcPr>
          <w:p>
            <w:pPr>
              <w:jc w:val="center"/>
            </w:pPr>
            <w:r>
              <w:rPr>
                <w:sz w:val="18"/>
              </w:rPr>
              <w:t>$920K</w:t>
            </w:r>
          </w:p>
        </w:tc>
        <w:tc>
          <w:tcPr>
            <w:tcW w:type="dxa" w:w="1255"/>
          </w:tcPr>
          <w:p>
            <w:pPr>
              <w:jc w:val="center"/>
            </w:pPr>
            <w:r>
              <w:rPr>
                <w:sz w:val="18"/>
              </w:rPr>
              <w:t>+14.3%</w:t>
            </w:r>
          </w:p>
        </w:tc>
        <w:tc>
          <w:tcPr>
            <w:tcW w:type="dxa" w:w="1255"/>
          </w:tcPr>
          <w:p>
            <w:pPr>
              <w:jc w:val="center"/>
            </w:pPr>
            <w:r>
              <w:rPr>
                <w:sz w:val="18"/>
              </w:rPr>
              <w:t>0.57</w:t>
            </w:r>
          </w:p>
        </w:tc>
        <w:tc>
          <w:tcPr>
            <w:tcW w:type="dxa" w:w="1255"/>
          </w:tcPr>
          <w:p>
            <w:pPr>
              <w:jc w:val="center"/>
            </w:pPr>
            <w:r>
              <w:rPr>
                <w:sz w:val="18"/>
              </w:rPr>
              <w:t>-65.9%</w:t>
            </w:r>
          </w:p>
        </w:tc>
        <w:tc>
          <w:tcPr>
            <w:tcW w:type="dxa" w:w="1255"/>
          </w:tcPr>
          <w:p>
            <w:pPr>
              <w:jc w:val="center"/>
            </w:pPr>
            <w:r>
              <w:rPr>
                <w:sz w:val="18"/>
              </w:rPr>
              <w:t>47</w:t>
            </w:r>
          </w:p>
        </w:tc>
        <w:tc>
          <w:tcPr>
            <w:tcW w:type="dxa" w:w="1255"/>
          </w:tcPr>
          <w:p>
            <w:pPr>
              <w:jc w:val="center"/>
            </w:pPr>
            <w:r>
              <w:rPr>
                <w:sz w:val="18"/>
              </w:rPr>
              <w:t>74%</w:t>
            </w:r>
          </w:p>
        </w:tc>
      </w:tr>
      <w:tr>
        <w:tc>
          <w:tcPr>
            <w:tcW w:type="dxa" w:w="1255"/>
          </w:tcPr>
          <w:p>
            <w:pPr>
              <w:jc w:val="left"/>
            </w:pPr>
            <w:r>
              <w:rPr>
                <w:sz w:val="18"/>
              </w:rPr>
              <w:t>DD25%/Cool20</w:t>
            </w:r>
          </w:p>
        </w:tc>
        <w:tc>
          <w:tcPr>
            <w:tcW w:type="dxa" w:w="1255"/>
          </w:tcPr>
          <w:p>
            <w:pPr>
              <w:jc w:val="center"/>
            </w:pPr>
            <w:r>
              <w:rPr>
                <w:sz w:val="18"/>
              </w:rPr>
              <w:t>$10.0M</w:t>
            </w:r>
          </w:p>
        </w:tc>
        <w:tc>
          <w:tcPr>
            <w:tcW w:type="dxa" w:w="1255"/>
          </w:tcPr>
          <w:p>
            <w:pPr>
              <w:jc w:val="center"/>
            </w:pPr>
            <w:r>
              <w:rPr>
                <w:sz w:val="18"/>
              </w:rPr>
              <w:t>+31.9%</w:t>
            </w:r>
          </w:p>
        </w:tc>
        <w:tc>
          <w:tcPr>
            <w:tcW w:type="dxa" w:w="1255"/>
          </w:tcPr>
          <w:p>
            <w:pPr>
              <w:jc w:val="center"/>
            </w:pPr>
            <w:r>
              <w:rPr>
                <w:sz w:val="18"/>
              </w:rPr>
              <w:t>0.87</w:t>
            </w:r>
          </w:p>
        </w:tc>
        <w:tc>
          <w:tcPr>
            <w:tcW w:type="dxa" w:w="1255"/>
          </w:tcPr>
          <w:p>
            <w:pPr>
              <w:jc w:val="center"/>
            </w:pPr>
            <w:r>
              <w:rPr>
                <w:sz w:val="18"/>
              </w:rPr>
              <w:t>-61.9%</w:t>
            </w:r>
          </w:p>
        </w:tc>
        <w:tc>
          <w:tcPr>
            <w:tcW w:type="dxa" w:w="1255"/>
          </w:tcPr>
          <w:p>
            <w:pPr>
              <w:jc w:val="center"/>
            </w:pPr>
            <w:r>
              <w:rPr>
                <w:sz w:val="18"/>
              </w:rPr>
              <w:t>39</w:t>
            </w:r>
          </w:p>
        </w:tc>
        <w:tc>
          <w:tcPr>
            <w:tcW w:type="dxa" w:w="1255"/>
          </w:tcPr>
          <w:p>
            <w:pPr>
              <w:jc w:val="center"/>
            </w:pPr>
            <w:r>
              <w:rPr>
                <w:sz w:val="18"/>
              </w:rPr>
              <w:t>91%</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0.90</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DD25%/Cool60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0.69</w:t>
            </w:r>
          </w:p>
        </w:tc>
        <w:tc>
          <w:tcPr>
            <w:tcW w:type="dxa" w:w="1255"/>
          </w:tcPr>
          <w:p>
            <w:pPr>
              <w:jc w:val="center"/>
            </w:pPr>
            <w:r>
              <w:rPr>
                <w:sz w:val="18"/>
              </w:rPr>
              <w:t>-59.3%</w:t>
            </w:r>
          </w:p>
        </w:tc>
        <w:tc>
          <w:tcPr>
            <w:tcW w:type="dxa" w:w="1255"/>
          </w:tcPr>
          <w:p>
            <w:pPr>
              <w:jc w:val="center"/>
            </w:pPr>
            <w:r>
              <w:rPr>
                <w:sz w:val="18"/>
              </w:rPr>
              <w:t>31</w:t>
            </w:r>
          </w:p>
        </w:tc>
        <w:tc>
          <w:tcPr>
            <w:tcW w:type="dxa" w:w="1255"/>
          </w:tcPr>
          <w:p>
            <w:pPr>
              <w:jc w:val="center"/>
            </w:pPr>
            <w:r>
              <w:rPr>
                <w:sz w:val="18"/>
              </w:rPr>
              <w:t>80%</w:t>
            </w:r>
          </w:p>
        </w:tc>
      </w:tr>
    </w:tbl>
    <w:p/>
    <w:p>
      <w:pPr>
        <w:jc w:val="center"/>
      </w:pPr>
      <w:r>
        <w:drawing>
          <wp:inline xmlns:a="http://schemas.openxmlformats.org/drawingml/2006/main" xmlns:pic="http://schemas.openxmlformats.org/drawingml/2006/picture">
            <wp:extent cx="5486400" cy="2709949"/>
            <wp:docPr id="2" name="Picture 2"/>
            <wp:cNvGraphicFramePr>
              <a:graphicFrameLocks noChangeAspect="1"/>
            </wp:cNvGraphicFramePr>
            <a:graphic>
              <a:graphicData uri="http://schemas.openxmlformats.org/drawingml/2006/picture">
                <pic:pic>
                  <pic:nvPicPr>
                    <pic:cNvPr id="0" name="03_drawdowns.png"/>
                    <pic:cNvPicPr/>
                  </pic:nvPicPr>
                  <pic:blipFill>
                    <a:blip r:embed="rId10"/>
                    <a:stretch>
                      <a:fillRect/>
                    </a:stretch>
                  </pic:blipFill>
                  <pic:spPr>
                    <a:xfrm>
                      <a:off x="0" y="0"/>
                      <a:ext cx="5486400" cy="2709949"/>
                    </a:xfrm>
                    <a:prstGeom prst="rect"/>
                  </pic:spPr>
                </pic:pic>
              </a:graphicData>
            </a:graphic>
          </wp:inline>
        </w:drawing>
      </w:r>
    </w:p>
    <w:p/>
    <w:p>
      <w:r>
        <w:t>A note on the DD15%/Cool60 anomaly: its $441K end value is dramatically worse than nearby variants ($2.0M for DD15%/Cool40, $1.5M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(We address parameter sensitivity directly in the robustness section below.)</w:t>
      </w:r>
    </w:p>
    <w:p>
      <w:r>
        <w:t xml:space="preserve">The standout is </w:t>
      </w:r>
      <w:r>
        <w:rPr>
          <w:b/>
        </w:rPr>
        <w:t>DD25%/Cool40</w:t>
      </w:r>
      <w:r>
        <w:t>: exit when UPRO drops 25% from its peak, wait at least 40 trading days (~2 months) before re-entering.</w:t>
      </w:r>
    </w:p>
    <w:p>
      <w:r>
        <w:t>Why it works: the 25% threshold is wide enough to avoid whipsaws from normal UPRO volatility (this is a 3x fund -- 10-15% pullbacks happen routinely) but catches genuine bear markets. The 40-day cooling period forces patience. You don't buy the first dead-cat bounce. You wait for the storm to pass.</w:t>
      </w:r>
    </w:p>
    <w:p>
      <w:r>
        <w:t xml:space="preserve">The trade-off is explicit: you give up about $1.2 million in terminal wealth (12% of buy-and-hold's end value) in exchange for a maximum drawdown that's </w:t>
      </w:r>
      <w:r>
        <w:rPr>
          <w:b/>
        </w:rPr>
        <w:t>35 percentage points better</w:t>
      </w:r>
      <w:r>
        <w:t xml:space="preserve"> (-41.8% vs -76.8%). The Sharpe ratio improves from 0.80 to 0.90. 31 trade signals over 16+ years -- roughly one exit/re-entry cycle per year.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$1.2M end value, +15.9% CAGR, 0.60 Sharpe, -61.1% max DD. Composite 3-of-3: $893K, +14.1% CAGR, 0.61 Sharpe, -50.1% max DD.</w:t>
      </w:r>
    </w:p>
    <w:p>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$10.2M</w:t>
            </w:r>
          </w:p>
        </w:tc>
        <w:tc>
          <w:tcPr>
            <w:tcW w:type="dxa" w:w="1255"/>
          </w:tcPr>
          <w:p>
            <w:pPr>
              <w:jc w:val="center"/>
            </w:pPr>
            <w:r>
              <w:rPr>
                <w:b/>
                <w:sz w:val="18"/>
              </w:rPr>
              <w:t>+32.0%</w:t>
            </w:r>
          </w:p>
        </w:tc>
        <w:tc>
          <w:tcPr>
            <w:tcW w:type="dxa" w:w="1255"/>
          </w:tcPr>
          <w:p>
            <w:pPr>
              <w:jc w:val="center"/>
            </w:pPr>
            <w:r>
              <w:rPr>
                <w:b/>
                <w:sz w:val="18"/>
              </w:rPr>
              <w:t>0.80</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$4.3M</w:t>
            </w:r>
          </w:p>
        </w:tc>
        <w:tc>
          <w:tcPr>
            <w:tcW w:type="dxa" w:w="1255"/>
          </w:tcPr>
          <w:p>
            <w:pPr>
              <w:jc w:val="center"/>
            </w:pPr>
            <w:r>
              <w:rPr>
                <w:sz w:val="18"/>
              </w:rPr>
              <w:t>+25.3%</w:t>
            </w:r>
          </w:p>
        </w:tc>
        <w:tc>
          <w:tcPr>
            <w:tcW w:type="dxa" w:w="1255"/>
          </w:tcPr>
          <w:p>
            <w:pPr>
              <w:jc w:val="center"/>
            </w:pPr>
            <w:r>
              <w:rPr>
                <w:sz w:val="18"/>
              </w:rPr>
              <w:t>0.75</w:t>
            </w:r>
          </w:p>
        </w:tc>
        <w:tc>
          <w:tcPr>
            <w:tcW w:type="dxa" w:w="1255"/>
          </w:tcPr>
          <w:p>
            <w:pPr>
              <w:jc w:val="center"/>
            </w:pPr>
            <w:r>
              <w:rPr>
                <w:sz w:val="18"/>
              </w:rPr>
              <w:t>-68.9%</w:t>
            </w:r>
          </w:p>
        </w:tc>
        <w:tc>
          <w:tcPr>
            <w:tcW w:type="dxa" w:w="1255"/>
          </w:tcPr>
          <w:p>
            <w:pPr>
              <w:jc w:val="center"/>
            </w:pPr>
            <w:r>
              <w:rPr>
                <w:sz w:val="18"/>
              </w:rPr>
              <w:t>43</w:t>
            </w:r>
          </w:p>
        </w:tc>
        <w:tc>
          <w:tcPr>
            <w:tcW w:type="dxa" w:w="1255"/>
          </w:tcPr>
          <w:p>
            <w:pPr>
              <w:jc w:val="center"/>
            </w:pPr>
            <w:r>
              <w:rPr>
                <w:sz w:val="18"/>
              </w:rPr>
              <w:t>94%</w:t>
            </w:r>
          </w:p>
        </w:tc>
      </w:tr>
      <w:tr>
        <w:tc>
          <w:tcPr>
            <w:tcW w:type="dxa" w:w="1255"/>
          </w:tcPr>
          <w:p>
            <w:pPr>
              <w:jc w:val="left"/>
            </w:pPr>
            <w:r>
              <w:rPr>
                <w:sz w:val="18"/>
              </w:rPr>
              <w:t>Dual Momentum</w:t>
            </w:r>
          </w:p>
        </w:tc>
        <w:tc>
          <w:tcPr>
            <w:tcW w:type="dxa" w:w="1255"/>
          </w:tcPr>
          <w:p>
            <w:pPr>
              <w:jc w:val="center"/>
            </w:pPr>
            <w:r>
              <w:rPr>
                <w:sz w:val="18"/>
              </w:rPr>
              <w:t>$607K</w:t>
            </w:r>
          </w:p>
        </w:tc>
        <w:tc>
          <w:tcPr>
            <w:tcW w:type="dxa" w:w="1255"/>
          </w:tcPr>
          <w:p>
            <w:pPr>
              <w:jc w:val="center"/>
            </w:pPr>
            <w:r>
              <w:rPr>
                <w:sz w:val="18"/>
              </w:rPr>
              <w:t>+11.4%</w:t>
            </w:r>
          </w:p>
        </w:tc>
        <w:tc>
          <w:tcPr>
            <w:tcW w:type="dxa" w:w="1255"/>
          </w:tcPr>
          <w:p>
            <w:pPr>
              <w:jc w:val="center"/>
            </w:pPr>
            <w:r>
              <w:rPr>
                <w:sz w:val="18"/>
              </w:rPr>
              <w:t>0.50</w:t>
            </w:r>
          </w:p>
        </w:tc>
        <w:tc>
          <w:tcPr>
            <w:tcW w:type="dxa" w:w="1255"/>
          </w:tcPr>
          <w:p>
            <w:pPr>
              <w:jc w:val="center"/>
            </w:pPr>
            <w:r>
              <w:rPr>
                <w:sz w:val="18"/>
              </w:rPr>
              <w:t>-56.6%</w:t>
            </w:r>
          </w:p>
        </w:tc>
        <w:tc>
          <w:tcPr>
            <w:tcW w:type="dxa" w:w="1255"/>
          </w:tcPr>
          <w:p>
            <w:pPr>
              <w:jc w:val="center"/>
            </w:pPr>
            <w:r>
              <w:rPr>
                <w:sz w:val="18"/>
              </w:rPr>
              <w:t>76</w:t>
            </w:r>
          </w:p>
        </w:tc>
        <w:tc>
          <w:tcPr>
            <w:tcW w:type="dxa" w:w="1255"/>
          </w:tcPr>
          <w:p>
            <w:pPr>
              <w:jc w:val="center"/>
            </w:pPr>
            <w:r>
              <w:rPr>
                <w:sz w:val="18"/>
              </w:rPr>
              <w:t>63%</w:t>
            </w:r>
          </w:p>
        </w:tc>
      </w:tr>
      <w:tr>
        <w:tc>
          <w:tcPr>
            <w:tcW w:type="dxa" w:w="1255"/>
          </w:tcPr>
          <w:p>
            <w:pPr>
              <w:jc w:val="left"/>
            </w:pPr>
            <w:r>
              <w:rPr>
                <w:sz w:val="18"/>
              </w:rPr>
              <w:t>HFEA 55/45</w:t>
            </w:r>
          </w:p>
        </w:tc>
        <w:tc>
          <w:tcPr>
            <w:tcW w:type="dxa" w:w="1255"/>
          </w:tcPr>
          <w:p>
            <w:pPr>
              <w:jc w:val="center"/>
            </w:pPr>
            <w:r>
              <w:rPr>
                <w:sz w:val="18"/>
              </w:rPr>
              <w:t>$3.3M</w:t>
            </w:r>
          </w:p>
        </w:tc>
        <w:tc>
          <w:tcPr>
            <w:tcW w:type="dxa" w:w="1255"/>
          </w:tcPr>
          <w:p>
            <w:pPr>
              <w:jc w:val="center"/>
            </w:pPr>
            <w:r>
              <w:rPr>
                <w:sz w:val="18"/>
              </w:rPr>
              <w:t>+23.5%</w:t>
            </w:r>
          </w:p>
        </w:tc>
        <w:tc>
          <w:tcPr>
            <w:tcW w:type="dxa" w:w="1255"/>
          </w:tcPr>
          <w:p>
            <w:pPr>
              <w:jc w:val="center"/>
            </w:pPr>
            <w:r>
              <w:rPr>
                <w:sz w:val="18"/>
              </w:rPr>
              <w:t>0.88</w:t>
            </w:r>
          </w:p>
        </w:tc>
        <w:tc>
          <w:tcPr>
            <w:tcW w:type="dxa" w:w="1255"/>
          </w:tcPr>
          <w:p>
            <w:pPr>
              <w:jc w:val="center"/>
            </w:pPr>
            <w:r>
              <w:rPr>
                <w:sz w:val="18"/>
              </w:rPr>
              <w:t>-70.5%</w:t>
            </w:r>
          </w:p>
        </w:tc>
        <w:tc>
          <w:tcPr>
            <w:tcW w:type="dxa" w:w="1255"/>
          </w:tcPr>
          <w:p>
            <w:pPr>
              <w:jc w:val="center"/>
            </w:pPr>
            <w:r>
              <w:rPr>
                <w:sz w:val="18"/>
              </w:rPr>
              <w:t>67</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0.90</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Composite 2of3</w:t>
            </w:r>
          </w:p>
        </w:tc>
        <w:tc>
          <w:tcPr>
            <w:tcW w:type="dxa" w:w="1255"/>
          </w:tcPr>
          <w:p>
            <w:pPr>
              <w:jc w:val="center"/>
            </w:pPr>
            <w:r>
              <w:rPr>
                <w:sz w:val="18"/>
              </w:rPr>
              <w:t>$1.2M</w:t>
            </w:r>
          </w:p>
        </w:tc>
        <w:tc>
          <w:tcPr>
            <w:tcW w:type="dxa" w:w="1255"/>
          </w:tcPr>
          <w:p>
            <w:pPr>
              <w:jc w:val="center"/>
            </w:pPr>
            <w:r>
              <w:rPr>
                <w:sz w:val="18"/>
              </w:rPr>
              <w:t>+15.9%</w:t>
            </w:r>
          </w:p>
        </w:tc>
        <w:tc>
          <w:tcPr>
            <w:tcW w:type="dxa" w:w="1255"/>
          </w:tcPr>
          <w:p>
            <w:pPr>
              <w:jc w:val="center"/>
            </w:pPr>
            <w:r>
              <w:rPr>
                <w:sz w:val="18"/>
              </w:rPr>
              <w:t>0.60</w:t>
            </w:r>
          </w:p>
        </w:tc>
        <w:tc>
          <w:tcPr>
            <w:tcW w:type="dxa" w:w="1255"/>
          </w:tcPr>
          <w:p>
            <w:pPr>
              <w:jc w:val="center"/>
            </w:pPr>
            <w:r>
              <w:rPr>
                <w:sz w:val="18"/>
              </w:rPr>
              <w:t>-61.1%</w:t>
            </w:r>
          </w:p>
        </w:tc>
        <w:tc>
          <w:tcPr>
            <w:tcW w:type="dxa" w:w="1255"/>
          </w:tcPr>
          <w:p>
            <w:pPr>
              <w:jc w:val="center"/>
            </w:pPr>
            <w:r>
              <w:rPr>
                <w:sz w:val="18"/>
              </w:rPr>
              <w:t>48</w:t>
            </w:r>
          </w:p>
        </w:tc>
        <w:tc>
          <w:tcPr>
            <w:tcW w:type="dxa" w:w="1255"/>
          </w:tcPr>
          <w:p>
            <w:pPr>
              <w:jc w:val="center"/>
            </w:pPr>
            <w:r>
              <w:rPr>
                <w:sz w:val="18"/>
              </w:rPr>
              <w:t>81%</w:t>
            </w:r>
          </w:p>
        </w:tc>
      </w:tr>
    </w:tbl>
    <w:p/>
    <w:p>
      <w:pPr>
        <w:jc w:val="center"/>
      </w:pPr>
      <w:r>
        <w:drawing>
          <wp:inline xmlns:a="http://schemas.openxmlformats.org/drawingml/2006/main" xmlns:pic="http://schemas.openxmlformats.org/drawingml/2006/picture">
            <wp:extent cx="5486400" cy="3267431"/>
            <wp:docPr id="3" name="Picture 3"/>
            <wp:cNvGraphicFramePr>
              <a:graphicFrameLocks noChangeAspect="1"/>
            </wp:cNvGraphicFramePr>
            <a:graphic>
              <a:graphicData uri="http://schemas.openxmlformats.org/drawingml/2006/picture">
                <pic:pic>
                  <pic:nvPicPr>
                    <pic:cNvPr id="0" name="01_equity_curves.png"/>
                    <pic:cNvPicPr/>
                  </pic:nvPicPr>
                  <pic:blipFill>
                    <a:blip r:embed="rId11"/>
                    <a:stretch>
                      <a:fillRect/>
                    </a:stretch>
                  </pic:blipFill>
                  <pic:spPr>
                    <a:xfrm>
                      <a:off x="0" y="0"/>
                      <a:ext cx="5486400" cy="3267431"/>
                    </a:xfrm>
                    <a:prstGeom prst="rect"/>
                  </pic:spPr>
                </pic:pic>
              </a:graphicData>
            </a:graphic>
          </wp:inline>
        </w:drawing>
      </w:r>
    </w:p>
    <w:p/>
    <w:p>
      <w:r>
        <w:t>The risk/return scatter tells the story. DD25%/Cool40 sits in the sweet spot: it preserves 88% of buy-and-hold's terminal value while cutting the maximum drawdown nearly in half. It's the best risk-adjusted performer in the analysis.</w:t>
      </w:r>
    </w:p>
    <w:p>
      <w:pPr>
        <w:jc w:val="center"/>
      </w:pPr>
      <w:r>
        <w:drawing>
          <wp:inline xmlns:a="http://schemas.openxmlformats.org/drawingml/2006/main" xmlns:pic="http://schemas.openxmlformats.org/drawingml/2006/picture">
            <wp:extent cx="5486400" cy="3834910"/>
            <wp:docPr id="4" name="Picture 4"/>
            <wp:cNvGraphicFramePr>
              <a:graphicFrameLocks noChangeAspect="1"/>
            </wp:cNvGraphicFramePr>
            <a:graphic>
              <a:graphicData uri="http://schemas.openxmlformats.org/drawingml/2006/picture">
                <pic:pic>
                  <pic:nvPicPr>
                    <pic:cNvPr id="0" name="04_risk_return.png"/>
                    <pic:cNvPicPr/>
                  </pic:nvPicPr>
                  <pic:blipFill>
                    <a:blip r:embed="rId12"/>
                    <a:stretch>
                      <a:fillRect/>
                    </a:stretch>
                  </pic:blipFill>
                  <pic:spPr>
                    <a:xfrm>
                      <a:off x="0" y="0"/>
                      <a:ext cx="5486400" cy="3834910"/>
                    </a:xfrm>
                    <a:prstGeom prst="rect"/>
                  </pic:spPr>
                </pic:pic>
              </a:graphicData>
            </a:graphic>
          </wp:inline>
        </w:drawing>
      </w:r>
    </w:p>
    <w:p/>
    <w:p>
      <w:r>
        <w:t>HFEA is a respectable second on Sharpe (0.88)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pPr>
        <w:pStyle w:val="Heading1"/>
      </w:pPr>
      <w:r>
        <w:t>Is This Overfitted? Robustness Testing</w:t>
      </w:r>
    </w:p>
    <w:p>
      <w:r>
        <w:t>The DD25%/Cool40 result is impressive, but skepticism is warranted. We selected these parameters because they looked best on 2009-2026 data. Here's how we stress-tested the finding.</w:t>
      </w:r>
    </w:p>
    <w:p>
      <w:pPr>
        <w:pStyle w:val="Heading2"/>
      </w:pPr>
      <w:r>
        <w:t>Parameter Sensitivity</w:t>
      </w:r>
    </w:p>
    <w:p>
      <w:r>
        <w:t>If DD25%/Cool40 sits on a narrow peak -- where nearby parameters produce much worse results -- that's a red flag for overfitting. To check, I computed the Sharpe ratio for a 5x6 grid of drawdown thresholds (10%-30%) and cooling periods (10-60 days).</w:t>
      </w:r>
    </w:p>
    <w:p>
      <w:r>
        <w:t>The result: DD25%/Cool40's 0.90 Sharpe sits at the peak of a broad green plateau. Adjacent cells DD20-25%/Cool30-40 all produce Sharpe ratios above 0.79. You can shift the threshold by 5 percentage points or the cooling period by 10 days in either direction and still get strong risk-adjusted performance. This is not a fragile optimum -- it's a robust region.</w:t>
      </w:r>
    </w:p>
    <w:p>
      <w:pPr>
        <w:jc w:val="center"/>
      </w:pPr>
      <w:r>
        <w:drawing>
          <wp:inline xmlns:a="http://schemas.openxmlformats.org/drawingml/2006/main" xmlns:pic="http://schemas.openxmlformats.org/drawingml/2006/picture">
            <wp:extent cx="5486400" cy="4035500"/>
            <wp:docPr id="5" name="Picture 5"/>
            <wp:cNvGraphicFramePr>
              <a:graphicFrameLocks noChangeAspect="1"/>
            </wp:cNvGraphicFramePr>
            <a:graphic>
              <a:graphicData uri="http://schemas.openxmlformats.org/drawingml/2006/picture">
                <pic:pic>
                  <pic:nvPicPr>
                    <pic:cNvPr id="0" name="05_dd_heatmap.png"/>
                    <pic:cNvPicPr/>
                  </pic:nvPicPr>
                  <pic:blipFill>
                    <a:blip r:embed="rId13"/>
                    <a:stretch>
                      <a:fillRect/>
                    </a:stretch>
                  </pic:blipFill>
                  <pic:spPr>
                    <a:xfrm>
                      <a:off x="0" y="0"/>
                      <a:ext cx="5486400" cy="4035500"/>
                    </a:xfrm>
                    <a:prstGeom prst="rect"/>
                  </pic:spPr>
                </pic:pic>
              </a:graphicData>
            </a:graphic>
          </wp:inline>
        </w:drawing>
      </w:r>
    </w:p>
    <w:p/>
    <w:p>
      <w:pPr>
        <w:pStyle w:val="Heading2"/>
      </w:pPr>
      <w:r>
        <w:t>Walk-Forward Validation</w:t>
      </w:r>
    </w:p>
    <w:p>
      <w:r>
        <w:t>The strongest test of parameter stability: train on one period, test on another. I split the data at December 2016 (roughly the halfway point) and ran a grid search over all threshold/cooling combinations on the 2009-2016 training set.</w:t>
      </w:r>
    </w:p>
    <w:p>
      <w:r>
        <w:t xml:space="preserve">The in-sample winner was DD30%/Cool10 (Sharpe 1.01) -- notably </w:t>
      </w:r>
      <w:r>
        <w:rPr>
          <w:i/>
        </w:rPr>
        <w:t>not</w:t>
      </w:r>
      <w:r>
        <w:t xml:space="preserve"> DD25%/Cool40. But when applied to the 2017-2026 out-of-sample period, DD30%/Cool10 delivered a 30.4% CAGR, 0.81 Sharpe, and -64.7% max drawdown. The strategy still works out-of-sample, even though the exact best parameters shifted.</w:t>
      </w:r>
    </w:p>
    <w:p>
      <w:r>
        <w:t>The key insight: the broad DD20-30%/Cool10-40 region produces strong results across both periods. DD25%/Cool40 wasn't the in-sample winner, which paradoxically strengthens our confidence -- we didn't cherry-pick the single best in-sample cell.</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Pr>
                <w:b/>
                <w:sz w:val="18"/>
              </w:rPr>
              <w:t>Metric</w:t>
            </w:r>
          </w:p>
        </w:tc>
        <w:tc>
          <w:tcPr>
            <w:tcW w:type="dxa" w:w="2928"/>
          </w:tcPr>
          <w:p>
            <w:pPr>
              <w:jc w:val="center"/>
            </w:pPr>
            <w:r>
              <w:rPr>
                <w:b/>
                <w:sz w:val="18"/>
              </w:rPr>
              <w:t>In-Sample (2009-2016)</w:t>
            </w:r>
          </w:p>
        </w:tc>
        <w:tc>
          <w:tcPr>
            <w:tcW w:type="dxa" w:w="2928"/>
          </w:tcPr>
          <w:p>
            <w:pPr>
              <w:jc w:val="center"/>
            </w:pPr>
            <w:r>
              <w:rPr>
                <w:b/>
                <w:sz w:val="18"/>
              </w:rPr>
              <w:t>Out-of-Sample (2017-2026)</w:t>
            </w:r>
          </w:p>
        </w:tc>
      </w:tr>
      <w:tr>
        <w:tc>
          <w:tcPr>
            <w:tcW w:type="dxa" w:w="2928"/>
          </w:tcPr>
          <w:p>
            <w:pPr>
              <w:jc w:val="left"/>
            </w:pPr>
            <w:r>
              <w:rPr>
                <w:sz w:val="18"/>
              </w:rPr>
              <w:t>Best Params</w:t>
            </w:r>
          </w:p>
        </w:tc>
        <w:tc>
          <w:tcPr>
            <w:tcW w:type="dxa" w:w="2928"/>
          </w:tcPr>
          <w:p>
            <w:pPr>
              <w:jc w:val="center"/>
            </w:pPr>
            <w:r>
              <w:rPr>
                <w:sz w:val="18"/>
              </w:rPr>
              <w:t>DD30%/Cool10</w:t>
            </w:r>
          </w:p>
        </w:tc>
        <w:tc>
          <w:tcPr>
            <w:tcW w:type="dxa" w:w="2928"/>
          </w:tcPr>
          <w:p>
            <w:pPr>
              <w:jc w:val="center"/>
            </w:pPr>
            <w:r>
              <w:rPr>
                <w:sz w:val="18"/>
              </w:rPr>
              <w:t>(same, applied forward)</w:t>
            </w:r>
          </w:p>
        </w:tc>
      </w:tr>
      <w:tr>
        <w:tc>
          <w:tcPr>
            <w:tcW w:type="dxa" w:w="2928"/>
          </w:tcPr>
          <w:p>
            <w:pPr>
              <w:jc w:val="left"/>
            </w:pPr>
            <w:r>
              <w:rPr>
                <w:sz w:val="18"/>
              </w:rPr>
              <w:t>CAGR</w:t>
            </w:r>
          </w:p>
        </w:tc>
        <w:tc>
          <w:tcPr>
            <w:tcW w:type="dxa" w:w="2928"/>
          </w:tcPr>
          <w:p>
            <w:pPr>
              <w:jc w:val="center"/>
            </w:pPr>
            <w:r>
              <w:rPr>
                <w:sz w:val="18"/>
              </w:rPr>
              <w:t>+41.0%</w:t>
            </w:r>
          </w:p>
        </w:tc>
        <w:tc>
          <w:tcPr>
            <w:tcW w:type="dxa" w:w="2928"/>
          </w:tcPr>
          <w:p>
            <w:pPr>
              <w:jc w:val="center"/>
            </w:pPr>
            <w:r>
              <w:rPr>
                <w:sz w:val="18"/>
              </w:rPr>
              <w:t>+30.4%</w:t>
            </w:r>
          </w:p>
        </w:tc>
      </w:tr>
      <w:tr>
        <w:tc>
          <w:tcPr>
            <w:tcW w:type="dxa" w:w="2928"/>
          </w:tcPr>
          <w:p>
            <w:pPr>
              <w:jc w:val="left"/>
            </w:pPr>
            <w:r>
              <w:rPr>
                <w:sz w:val="18"/>
              </w:rPr>
              <w:t>Sharpe</w:t>
            </w:r>
          </w:p>
        </w:tc>
        <w:tc>
          <w:tcPr>
            <w:tcW w:type="dxa" w:w="2928"/>
          </w:tcPr>
          <w:p>
            <w:pPr>
              <w:jc w:val="center"/>
            </w:pPr>
            <w:r>
              <w:rPr>
                <w:sz w:val="18"/>
              </w:rPr>
              <w:t>1.01</w:t>
            </w:r>
          </w:p>
        </w:tc>
        <w:tc>
          <w:tcPr>
            <w:tcW w:type="dxa" w:w="2928"/>
          </w:tcPr>
          <w:p>
            <w:pPr>
              <w:jc w:val="center"/>
            </w:pPr>
            <w:r>
              <w:rPr>
                <w:sz w:val="18"/>
              </w:rPr>
              <w:t>0.81</w:t>
            </w:r>
          </w:p>
        </w:tc>
      </w:tr>
      <w:tr>
        <w:tc>
          <w:tcPr>
            <w:tcW w:type="dxa" w:w="2928"/>
          </w:tcPr>
          <w:p>
            <w:pPr>
              <w:jc w:val="left"/>
            </w:pPr>
            <w:r>
              <w:rPr>
                <w:sz w:val="18"/>
              </w:rPr>
              <w:t>Max DD</w:t>
            </w:r>
          </w:p>
        </w:tc>
        <w:tc>
          <w:tcPr>
            <w:tcW w:type="dxa" w:w="2928"/>
          </w:tcPr>
          <w:p>
            <w:pPr>
              <w:jc w:val="center"/>
            </w:pPr>
            <w:r>
              <w:rPr>
                <w:sz w:val="18"/>
              </w:rPr>
              <w:t>-45.2%</w:t>
            </w:r>
          </w:p>
        </w:tc>
        <w:tc>
          <w:tcPr>
            <w:tcW w:type="dxa" w:w="2928"/>
          </w:tcPr>
          <w:p>
            <w:pPr>
              <w:jc w:val="center"/>
            </w:pPr>
            <w:r>
              <w:rPr>
                <w:sz w:val="18"/>
              </w:rPr>
              <w:t>-64.7%</w:t>
            </w:r>
          </w:p>
        </w:tc>
      </w:tr>
    </w:tbl>
    <w:p/>
    <w:p>
      <w:pPr>
        <w:jc w:val="center"/>
      </w:pPr>
      <w:r>
        <w:drawing>
          <wp:inline xmlns:a="http://schemas.openxmlformats.org/drawingml/2006/main" xmlns:pic="http://schemas.openxmlformats.org/drawingml/2006/picture">
            <wp:extent cx="5486400" cy="2252190"/>
            <wp:docPr id="6" name="Picture 6"/>
            <wp:cNvGraphicFramePr>
              <a:graphicFrameLocks noChangeAspect="1"/>
            </wp:cNvGraphicFramePr>
            <a:graphic>
              <a:graphicData uri="http://schemas.openxmlformats.org/drawingml/2006/picture">
                <pic:pic>
                  <pic:nvPicPr>
                    <pic:cNvPr id="0" name="07_walk_forward.png"/>
                    <pic:cNvPicPr/>
                  </pic:nvPicPr>
                  <pic:blipFill>
                    <a:blip r:embed="rId14"/>
                    <a:stretch>
                      <a:fillRect/>
                    </a:stretch>
                  </pic:blipFill>
                  <pic:spPr>
                    <a:xfrm>
                      <a:off x="0" y="0"/>
                      <a:ext cx="5486400" cy="2252190"/>
                    </a:xfrm>
                    <a:prstGeom prst="rect"/>
                  </pic:spPr>
                </pic:pic>
              </a:graphicData>
            </a:graphic>
          </wp:inline>
        </w:drawing>
      </w:r>
    </w:p>
    <w:p/>
    <w:p>
      <w:pPr>
        <w:pStyle w:val="Heading2"/>
      </w:pPr>
      <w:r>
        <w:t>The Lost Decade: Synthetic Pre-2009 UPRO</w:t>
      </w:r>
    </w:p>
    <w:p>
      <w:r>
        <w:t>UPRO launched in June 2009, conveniently at the start of a historic bull market. What would have happened during the 2000-2009 "lost decade" -- dot-com crash, GFC, and everything in between?</w:t>
      </w:r>
    </w:p>
    <w:p>
      <w:r>
        <w:t>I constructed a synthetic UPRO by applying 3x daily-leveraged returns to SPY data going back to 1993, with a 0.89% expense ratio drag. This isn't a perfect proxy (it ignores swap costs and other ETF-specific factors), but it gives us a directional answer.</w:t>
      </w:r>
    </w:p>
    <w:p>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r>
        <w:t>Over the full 1993-2026 period, DD25%/Cool40 slightly outperformed B&amp;H: 21.2% CAGR vs 20.9% CAGR, with a 0.68 Sharpe vs 0.62. The drawdown exit earns its keep mostly by surviving the catastrophic periods, then riding the recovery.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Period</w:t>
            </w:r>
          </w:p>
        </w:tc>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r>
      <w:tr>
        <w:tc>
          <w:tcPr>
            <w:tcW w:type="dxa" w:w="1464"/>
          </w:tcPr>
          <w:p>
            <w:pPr>
              <w:jc w:val="left"/>
            </w:pPr>
            <w:r>
              <w:rPr>
                <w:sz w:val="18"/>
              </w:rPr>
              <w:t>2000-2009</w:t>
            </w:r>
          </w:p>
        </w:tc>
        <w:tc>
          <w:tcPr>
            <w:tcW w:type="dxa" w:w="1464"/>
          </w:tcPr>
          <w:p>
            <w:pPr>
              <w:jc w:val="center"/>
            </w:pPr>
            <w:r>
              <w:rPr>
                <w:sz w:val="18"/>
              </w:rPr>
              <w:t>Syn UPRO B&amp;H</w:t>
            </w:r>
          </w:p>
        </w:tc>
        <w:tc>
          <w:tcPr>
            <w:tcW w:type="dxa" w:w="1464"/>
          </w:tcPr>
          <w:p>
            <w:pPr>
              <w:jc w:val="center"/>
            </w:pPr>
            <w:r>
              <w:rPr>
                <w:sz w:val="18"/>
              </w:rPr>
              <w:t>$8.8K</w:t>
            </w:r>
          </w:p>
        </w:tc>
        <w:tc>
          <w:tcPr>
            <w:tcW w:type="dxa" w:w="1464"/>
          </w:tcPr>
          <w:p>
            <w:pPr>
              <w:jc w:val="center"/>
            </w:pPr>
            <w:r>
              <w:rPr>
                <w:sz w:val="18"/>
              </w:rPr>
              <w:t>-22.7%</w:t>
            </w:r>
          </w:p>
        </w:tc>
        <w:tc>
          <w:tcPr>
            <w:tcW w:type="dxa" w:w="1464"/>
          </w:tcPr>
          <w:p>
            <w:pPr>
              <w:jc w:val="center"/>
            </w:pPr>
            <w:r>
              <w:rPr>
                <w:sz w:val="18"/>
              </w:rPr>
              <w:t>-0.04</w:t>
            </w:r>
          </w:p>
        </w:tc>
        <w:tc>
          <w:tcPr>
            <w:tcW w:type="dxa" w:w="1464"/>
          </w:tcPr>
          <w:p>
            <w:pPr>
              <w:jc w:val="center"/>
            </w:pPr>
            <w:r>
              <w:rPr>
                <w:sz w:val="18"/>
              </w:rPr>
              <w:t>-96.7%</w:t>
            </w:r>
          </w:p>
        </w:tc>
      </w:tr>
      <w:tr>
        <w:tc>
          <w:tcPr>
            <w:tcW w:type="dxa" w:w="1464"/>
          </w:tcPr>
          <w:p>
            <w:pPr>
              <w:jc w:val="left"/>
            </w:pPr>
            <w:r>
              <w:rPr>
                <w:sz w:val="18"/>
              </w:rPr>
              <w:t>2000-2009</w:t>
            </w:r>
          </w:p>
        </w:tc>
        <w:tc>
          <w:tcPr>
            <w:tcW w:type="dxa" w:w="1464"/>
          </w:tcPr>
          <w:p>
            <w:pPr>
              <w:jc w:val="center"/>
            </w:pPr>
            <w:r>
              <w:rPr>
                <w:sz w:val="18"/>
              </w:rPr>
              <w:t>Syn DD25/Cool40</w:t>
            </w:r>
          </w:p>
        </w:tc>
        <w:tc>
          <w:tcPr>
            <w:tcW w:type="dxa" w:w="1464"/>
          </w:tcPr>
          <w:p>
            <w:pPr>
              <w:jc w:val="center"/>
            </w:pPr>
            <w:r>
              <w:rPr>
                <w:sz w:val="18"/>
              </w:rPr>
              <w:t>$16.2K</w:t>
            </w:r>
          </w:p>
        </w:tc>
        <w:tc>
          <w:tcPr>
            <w:tcW w:type="dxa" w:w="1464"/>
          </w:tcPr>
          <w:p>
            <w:pPr>
              <w:jc w:val="center"/>
            </w:pPr>
            <w:r>
              <w:rPr>
                <w:sz w:val="18"/>
              </w:rPr>
              <w:t>-17.5%</w:t>
            </w:r>
          </w:p>
        </w:tc>
        <w:tc>
          <w:tcPr>
            <w:tcW w:type="dxa" w:w="1464"/>
          </w:tcPr>
          <w:p>
            <w:pPr>
              <w:jc w:val="center"/>
            </w:pPr>
            <w:r>
              <w:rPr>
                <w:sz w:val="18"/>
              </w:rPr>
              <w:t>-0.21</w:t>
            </w:r>
          </w:p>
        </w:tc>
        <w:tc>
          <w:tcPr>
            <w:tcW w:type="dxa" w:w="1464"/>
          </w:tcPr>
          <w:p>
            <w:pPr>
              <w:jc w:val="center"/>
            </w:pPr>
            <w:r>
              <w:rPr>
                <w:sz w:val="18"/>
              </w:rPr>
              <w:t>-92.8%</w:t>
            </w:r>
          </w:p>
        </w:tc>
      </w:tr>
      <w:tr>
        <w:tc>
          <w:tcPr>
            <w:tcW w:type="dxa" w:w="1464"/>
          </w:tcPr>
          <w:p>
            <w:pPr>
              <w:jc w:val="left"/>
            </w:pPr>
            <w:r>
              <w:rPr>
                <w:sz w:val="18"/>
              </w:rPr>
              <w:t>1993-2026</w:t>
            </w:r>
          </w:p>
        </w:tc>
        <w:tc>
          <w:tcPr>
            <w:tcW w:type="dxa" w:w="1464"/>
          </w:tcPr>
          <w:p>
            <w:pPr>
              <w:jc w:val="center"/>
            </w:pPr>
            <w:r>
              <w:rPr>
                <w:sz w:val="18"/>
              </w:rPr>
              <w:t>Syn UPRO B&amp;H</w:t>
            </w:r>
          </w:p>
        </w:tc>
        <w:tc>
          <w:tcPr>
            <w:tcW w:type="dxa" w:w="1464"/>
          </w:tcPr>
          <w:p>
            <w:pPr>
              <w:jc w:val="center"/>
            </w:pPr>
            <w:r>
              <w:rPr>
                <w:sz w:val="18"/>
              </w:rPr>
              <w:t>$52.3M</w:t>
            </w:r>
          </w:p>
        </w:tc>
        <w:tc>
          <w:tcPr>
            <w:tcW w:type="dxa" w:w="1464"/>
          </w:tcPr>
          <w:p>
            <w:pPr>
              <w:jc w:val="center"/>
            </w:pPr>
            <w:r>
              <w:rPr>
                <w:sz w:val="18"/>
              </w:rPr>
              <w:t>+20.9%</w:t>
            </w:r>
          </w:p>
        </w:tc>
        <w:tc>
          <w:tcPr>
            <w:tcW w:type="dxa" w:w="1464"/>
          </w:tcPr>
          <w:p>
            <w:pPr>
              <w:jc w:val="center"/>
            </w:pPr>
            <w:r>
              <w:rPr>
                <w:sz w:val="18"/>
              </w:rPr>
              <w:t>0.62</w:t>
            </w:r>
          </w:p>
        </w:tc>
        <w:tc>
          <w:tcPr>
            <w:tcW w:type="dxa" w:w="1464"/>
          </w:tcPr>
          <w:p>
            <w:pPr>
              <w:jc w:val="center"/>
            </w:pPr>
            <w:r>
              <w:rPr>
                <w:sz w:val="18"/>
              </w:rPr>
              <w:t>-96.7%</w:t>
            </w:r>
          </w:p>
        </w:tc>
      </w:tr>
      <w:tr>
        <w:tc>
          <w:tcPr>
            <w:tcW w:type="dxa" w:w="1464"/>
          </w:tcPr>
          <w:p>
            <w:pPr>
              <w:jc w:val="left"/>
            </w:pPr>
            <w:r>
              <w:rPr>
                <w:sz w:val="18"/>
              </w:rPr>
              <w:t>1993-2026</w:t>
            </w:r>
          </w:p>
        </w:tc>
        <w:tc>
          <w:tcPr>
            <w:tcW w:type="dxa" w:w="1464"/>
          </w:tcPr>
          <w:p>
            <w:pPr>
              <w:jc w:val="center"/>
            </w:pPr>
            <w:r>
              <w:rPr>
                <w:sz w:val="18"/>
              </w:rPr>
              <w:t>Syn DD25/Cool40</w:t>
            </w:r>
          </w:p>
        </w:tc>
        <w:tc>
          <w:tcPr>
            <w:tcW w:type="dxa" w:w="1464"/>
          </w:tcPr>
          <w:p>
            <w:pPr>
              <w:jc w:val="center"/>
            </w:pPr>
            <w:r>
              <w:rPr>
                <w:sz w:val="18"/>
              </w:rPr>
              <w:t>$56.9M</w:t>
            </w:r>
          </w:p>
        </w:tc>
        <w:tc>
          <w:tcPr>
            <w:tcW w:type="dxa" w:w="1464"/>
          </w:tcPr>
          <w:p>
            <w:pPr>
              <w:jc w:val="center"/>
            </w:pPr>
            <w:r>
              <w:rPr>
                <w:sz w:val="18"/>
              </w:rPr>
              <w:t>+21.2%</w:t>
            </w:r>
          </w:p>
        </w:tc>
        <w:tc>
          <w:tcPr>
            <w:tcW w:type="dxa" w:w="1464"/>
          </w:tcPr>
          <w:p>
            <w:pPr>
              <w:jc w:val="center"/>
            </w:pPr>
            <w:r>
              <w:rPr>
                <w:sz w:val="18"/>
              </w:rPr>
              <w:t>0.68</w:t>
            </w:r>
          </w:p>
        </w:tc>
        <w:tc>
          <w:tcPr>
            <w:tcW w:type="dxa" w:w="1464"/>
          </w:tcPr>
          <w:p>
            <w:pPr>
              <w:jc w:val="center"/>
            </w:pPr>
            <w:r>
              <w:rPr>
                <w:sz w:val="18"/>
              </w:rPr>
              <w:t>-92.8%</w:t>
            </w:r>
          </w:p>
        </w:tc>
      </w:tr>
    </w:tbl>
    <w:p/>
    <w:p>
      <w:pPr>
        <w:jc w:val="center"/>
      </w:pPr>
      <w:r>
        <w:drawing>
          <wp:inline xmlns:a="http://schemas.openxmlformats.org/drawingml/2006/main" xmlns:pic="http://schemas.openxmlformats.org/drawingml/2006/picture">
            <wp:extent cx="5486400" cy="3267431"/>
            <wp:docPr id="7" name="Picture 7"/>
            <wp:cNvGraphicFramePr>
              <a:graphicFrameLocks noChangeAspect="1"/>
            </wp:cNvGraphicFramePr>
            <a:graphic>
              <a:graphicData uri="http://schemas.openxmlformats.org/drawingml/2006/picture">
                <pic:pic>
                  <pic:nvPicPr>
                    <pic:cNvPr id="0" name="06_synthetic_upro.png"/>
                    <pic:cNvPicPr/>
                  </pic:nvPicPr>
                  <pic:blipFill>
                    <a:blip r:embed="rId15"/>
                    <a:stretch>
                      <a:fillRect/>
                    </a:stretch>
                  </pic:blipFill>
                  <pic:spPr>
                    <a:xfrm>
                      <a:off x="0" y="0"/>
                      <a:ext cx="5486400" cy="3267431"/>
                    </a:xfrm>
                    <a:prstGeom prst="rect"/>
                  </pic:spPr>
                </pic:pic>
              </a:graphicData>
            </a:graphic>
          </wp:inline>
        </w:drawing>
      </w:r>
    </w:p>
    <w:p/>
    <w:p>
      <w:pPr>
        <w:pStyle w:val="Heading2"/>
      </w:pPr>
      <w:r>
        <w:t>SMA Re-Entry Gate</w:t>
      </w:r>
    </w:p>
    <w:p>
      <w:r>
        <w:t>One natural enhancement to the drawdown exit: instead of re-entering after the cooling period expires unconditionally, require that SPY be above its N-day simple moving average. The theory is that an SMA gate prevents re-entry during prolonged downtrends.</w:t>
      </w:r>
    </w:p>
    <w:p>
      <w:r>
        <w:t xml:space="preserve">I tested adding SMA50, SMA100, and SMA200 gates to the DD25%/Cool40 re-entry rule. In every case, the gate made things </w:t>
      </w:r>
      <w:r>
        <w:rPr>
          <w:i/>
        </w:rPr>
        <w:t>worse</w:t>
      </w:r>
      <w:r>
        <w: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Variant</w:t>
            </w:r>
          </w:p>
        </w:tc>
        <w:tc>
          <w:tcPr>
            <w:tcW w:type="dxa" w:w="1757"/>
          </w:tcPr>
          <w:p>
            <w:pPr>
              <w:jc w:val="center"/>
            </w:pPr>
            <w:r>
              <w:rPr>
                <w:b/>
                <w:sz w:val="18"/>
              </w:rPr>
              <w:t>End Value</w:t>
            </w:r>
          </w:p>
        </w:tc>
        <w:tc>
          <w:tcPr>
            <w:tcW w:type="dxa" w:w="1757"/>
          </w:tcPr>
          <w:p>
            <w:pPr>
              <w:jc w:val="center"/>
            </w:pPr>
            <w:r>
              <w:rPr>
                <w:b/>
                <w:sz w:val="18"/>
              </w:rPr>
              <w:t>CAGR</w:t>
            </w:r>
          </w:p>
        </w:tc>
        <w:tc>
          <w:tcPr>
            <w:tcW w:type="dxa" w:w="1757"/>
          </w:tcPr>
          <w:p>
            <w:pPr>
              <w:jc w:val="center"/>
            </w:pPr>
            <w:r>
              <w:rPr>
                <w:b/>
                <w:sz w:val="18"/>
              </w:rPr>
              <w:t>Sharpe</w:t>
            </w:r>
          </w:p>
        </w:tc>
        <w:tc>
          <w:tcPr>
            <w:tcW w:type="dxa" w:w="1757"/>
          </w:tcPr>
          <w:p>
            <w:pPr>
              <w:jc w:val="center"/>
            </w:pPr>
            <w:r>
              <w:rPr>
                <w:b/>
                <w:sz w:val="18"/>
              </w:rPr>
              <w:t>Max DD</w:t>
            </w:r>
          </w:p>
        </w:tc>
      </w:tr>
      <w:tr>
        <w:tc>
          <w:tcPr>
            <w:tcW w:type="dxa" w:w="1757"/>
          </w:tcPr>
          <w:p>
            <w:pPr>
              <w:jc w:val="left"/>
            </w:pPr>
            <w:r>
              <w:rPr>
                <w:sz w:val="18"/>
              </w:rPr>
              <w:t>DD25%/Cool40 (no gate)</w:t>
            </w:r>
          </w:p>
        </w:tc>
        <w:tc>
          <w:tcPr>
            <w:tcW w:type="dxa" w:w="1757"/>
          </w:tcPr>
          <w:p>
            <w:pPr>
              <w:jc w:val="center"/>
            </w:pPr>
            <w:r>
              <w:rPr>
                <w:sz w:val="18"/>
              </w:rPr>
              <w:t>$9.0M</w:t>
            </w:r>
          </w:p>
        </w:tc>
        <w:tc>
          <w:tcPr>
            <w:tcW w:type="dxa" w:w="1757"/>
          </w:tcPr>
          <w:p>
            <w:pPr>
              <w:jc w:val="center"/>
            </w:pPr>
            <w:r>
              <w:rPr>
                <w:sz w:val="18"/>
              </w:rPr>
              <w:t>+31.0%</w:t>
            </w:r>
          </w:p>
        </w:tc>
        <w:tc>
          <w:tcPr>
            <w:tcW w:type="dxa" w:w="1757"/>
          </w:tcPr>
          <w:p>
            <w:pPr>
              <w:jc w:val="center"/>
            </w:pPr>
            <w:r>
              <w:rPr>
                <w:sz w:val="18"/>
              </w:rPr>
              <w:t>0.90</w:t>
            </w:r>
          </w:p>
        </w:tc>
        <w:tc>
          <w:tcPr>
            <w:tcW w:type="dxa" w:w="1757"/>
          </w:tcPr>
          <w:p>
            <w:pPr>
              <w:jc w:val="center"/>
            </w:pPr>
            <w:r>
              <w:rPr>
                <w:sz w:val="18"/>
              </w:rPr>
              <w:t>-41.8%</w:t>
            </w:r>
          </w:p>
        </w:tc>
      </w:tr>
      <w:tr>
        <w:tc>
          <w:tcPr>
            <w:tcW w:type="dxa" w:w="1757"/>
          </w:tcPr>
          <w:p>
            <w:pPr>
              <w:jc w:val="left"/>
            </w:pPr>
            <w:r>
              <w:rPr>
                <w:sz w:val="18"/>
              </w:rPr>
              <w:t>+SMA50 gate</w:t>
            </w:r>
          </w:p>
        </w:tc>
        <w:tc>
          <w:tcPr>
            <w:tcW w:type="dxa" w:w="1757"/>
          </w:tcPr>
          <w:p>
            <w:pPr>
              <w:jc w:val="center"/>
            </w:pPr>
            <w:r>
              <w:rPr>
                <w:sz w:val="18"/>
              </w:rPr>
              <w:t>$4.6M</w:t>
            </w:r>
          </w:p>
        </w:tc>
        <w:tc>
          <w:tcPr>
            <w:tcW w:type="dxa" w:w="1757"/>
          </w:tcPr>
          <w:p>
            <w:pPr>
              <w:jc w:val="center"/>
            </w:pPr>
            <w:r>
              <w:rPr>
                <w:sz w:val="18"/>
              </w:rPr>
              <w:t>+25.8%</w:t>
            </w:r>
          </w:p>
        </w:tc>
        <w:tc>
          <w:tcPr>
            <w:tcW w:type="dxa" w:w="1757"/>
          </w:tcPr>
          <w:p>
            <w:pPr>
              <w:jc w:val="center"/>
            </w:pPr>
            <w:r>
              <w:rPr>
                <w:sz w:val="18"/>
              </w:rPr>
              <w:t>0.80</w:t>
            </w:r>
          </w:p>
        </w:tc>
        <w:tc>
          <w:tcPr>
            <w:tcW w:type="dxa" w:w="1757"/>
          </w:tcPr>
          <w:p>
            <w:pPr>
              <w:jc w:val="center"/>
            </w:pPr>
            <w:r>
              <w:rPr>
                <w:sz w:val="18"/>
              </w:rPr>
              <w:t>-45.1%</w:t>
            </w:r>
          </w:p>
        </w:tc>
      </w:tr>
      <w:tr>
        <w:tc>
          <w:tcPr>
            <w:tcW w:type="dxa" w:w="1757"/>
          </w:tcPr>
          <w:p>
            <w:pPr>
              <w:jc w:val="left"/>
            </w:pPr>
            <w:r>
              <w:rPr>
                <w:sz w:val="18"/>
              </w:rPr>
              <w:t>+SMA100 gate</w:t>
            </w:r>
          </w:p>
        </w:tc>
        <w:tc>
          <w:tcPr>
            <w:tcW w:type="dxa" w:w="1757"/>
          </w:tcPr>
          <w:p>
            <w:pPr>
              <w:jc w:val="center"/>
            </w:pPr>
            <w:r>
              <w:rPr>
                <w:sz w:val="18"/>
              </w:rPr>
              <w:t>$2.3M</w:t>
            </w:r>
          </w:p>
        </w:tc>
        <w:tc>
          <w:tcPr>
            <w:tcW w:type="dxa" w:w="1757"/>
          </w:tcPr>
          <w:p>
            <w:pPr>
              <w:jc w:val="center"/>
            </w:pPr>
            <w:r>
              <w:rPr>
                <w:sz w:val="18"/>
              </w:rPr>
              <w:t>+20.7%</w:t>
            </w:r>
          </w:p>
        </w:tc>
        <w:tc>
          <w:tcPr>
            <w:tcW w:type="dxa" w:w="1757"/>
          </w:tcPr>
          <w:p>
            <w:pPr>
              <w:jc w:val="center"/>
            </w:pPr>
            <w:r>
              <w:rPr>
                <w:sz w:val="18"/>
              </w:rPr>
              <w:t>0.70</w:t>
            </w:r>
          </w:p>
        </w:tc>
        <w:tc>
          <w:tcPr>
            <w:tcW w:type="dxa" w:w="1757"/>
          </w:tcPr>
          <w:p>
            <w:pPr>
              <w:jc w:val="center"/>
            </w:pPr>
            <w:r>
              <w:rPr>
                <w:sz w:val="18"/>
              </w:rPr>
              <w:t>-55.6%</w:t>
            </w:r>
          </w:p>
        </w:tc>
      </w:tr>
      <w:tr>
        <w:tc>
          <w:tcPr>
            <w:tcW w:type="dxa" w:w="1757"/>
          </w:tcPr>
          <w:p>
            <w:pPr>
              <w:jc w:val="left"/>
            </w:pPr>
            <w:r>
              <w:rPr>
                <w:sz w:val="18"/>
              </w:rPr>
              <w:t>+SMA200 gate</w:t>
            </w:r>
          </w:p>
        </w:tc>
        <w:tc>
          <w:tcPr>
            <w:tcW w:type="dxa" w:w="1757"/>
          </w:tcPr>
          <w:p>
            <w:pPr>
              <w:jc w:val="center"/>
            </w:pPr>
            <w:r>
              <w:rPr>
                <w:sz w:val="18"/>
              </w:rPr>
              <w:t>$1.6M</w:t>
            </w:r>
          </w:p>
        </w:tc>
        <w:tc>
          <w:tcPr>
            <w:tcW w:type="dxa" w:w="1757"/>
          </w:tcPr>
          <w:p>
            <w:pPr>
              <w:jc w:val="center"/>
            </w:pPr>
            <w:r>
              <w:rPr>
                <w:sz w:val="18"/>
              </w:rPr>
              <w:t>+18.2%</w:t>
            </w:r>
          </w:p>
        </w:tc>
        <w:tc>
          <w:tcPr>
            <w:tcW w:type="dxa" w:w="1757"/>
          </w:tcPr>
          <w:p>
            <w:pPr>
              <w:jc w:val="center"/>
            </w:pPr>
            <w:r>
              <w:rPr>
                <w:sz w:val="18"/>
              </w:rPr>
              <w:t>0.64</w:t>
            </w:r>
          </w:p>
        </w:tc>
        <w:tc>
          <w:tcPr>
            <w:tcW w:type="dxa" w:w="1757"/>
          </w:tcPr>
          <w:p>
            <w:pPr>
              <w:jc w:val="center"/>
            </w:pPr>
            <w:r>
              <w:rPr>
                <w:sz w:val="18"/>
              </w:rPr>
              <w:t>-63.9%</w:t>
            </w:r>
          </w:p>
        </w:tc>
      </w:tr>
    </w:tbl>
    <w:p/>
    <w:p>
      <w:r>
        <w:t>Every SMA gate reduced CAGR, reduced Sharpe, and -- counterintuitively -- increased max drawdown. The longer the SMA lookback, the worse the damage. The explanation: after a drawdown, the SMA gate delays re-entry while waiting for the moving average to confirm an uptrend. But the fastest gains come in the early stages of recovery, exactly when the SMA is still below the price. By waiting for SMA confirmation, you miss the bounce.</w:t>
      </w:r>
    </w:p>
    <w:p>
      <w:r>
        <w:t>The original DD25%/Cool40 rule -- re-enter after the cooling period expires or on a new ATH -- already handles bear markets effectively. The cooling period provides the patience; the ATH check provides the optimism. Adding an SMA gate is redundant at best and actively harmful at worst.</w:t>
      </w:r>
    </w:p>
    <w:p>
      <w:pPr>
        <w:jc w:val="center"/>
      </w:pPr>
      <w:r>
        <w:drawing>
          <wp:inline xmlns:a="http://schemas.openxmlformats.org/drawingml/2006/main" xmlns:pic="http://schemas.openxmlformats.org/drawingml/2006/picture">
            <wp:extent cx="5486400" cy="3267431"/>
            <wp:docPr id="8" name="Picture 8"/>
            <wp:cNvGraphicFramePr>
              <a:graphicFrameLocks noChangeAspect="1"/>
            </wp:cNvGraphicFramePr>
            <a:graphic>
              <a:graphicData uri="http://schemas.openxmlformats.org/drawingml/2006/picture">
                <pic:pic>
                  <pic:nvPicPr>
                    <pic:cNvPr id="0" name="08_sma_gate.png"/>
                    <pic:cNvPicPr/>
                  </pic:nvPicPr>
                  <pic:blipFill>
                    <a:blip r:embed="rId16"/>
                    <a:stretch>
                      <a:fillRect/>
                    </a:stretch>
                  </pic:blipFill>
                  <pic:spPr>
                    <a:xfrm>
                      <a:off x="0" y="0"/>
                      <a:ext cx="5486400" cy="3267431"/>
                    </a:xfrm>
                    <a:prstGeom prst="rect"/>
                  </pic:spPr>
                </pic:pic>
              </a:graphicData>
            </a:graphic>
          </wp:inline>
        </w:drawing>
      </w:r>
    </w:p>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a money market fund or short-term Treasuries.</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15 round-trip trades over 16+ years (~1 per year), this is manageable but real. In an IRA or 401(k), it's a non-issue. In a taxable account, most exits during drawdowns will be at a loss, making them tax-loss harvesting opportunities.</w:t>
      </w:r>
    </w:p>
    <w:p>
      <w:r>
        <w:rPr>
          <w:b/>
        </w:rPr>
        <w:t>Transaction costs.</w:t>
      </w:r>
      <w:r>
        <w:t xml:space="preserve"> At 31 trade signals over 16+ years and $0 commissions at most brokers, costs are negligible.</w:t>
      </w:r>
    </w:p>
    <w:p>
      <w:r>
        <w:rPr>
          <w:b/>
        </w:rPr>
        <w:t>Cash return.</w:t>
      </w:r>
      <w:r>
        <w:t xml:space="preserve"> Our backtest models T-bill rates during cash periods. In 2023-2024, money market funds yielded 5%+. The results already reflect this realistic assumption.</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Are We Now?</w:t>
      </w:r>
    </w:p>
    <w:p>
      <w:r>
        <w:t>If you had been following the DD25%/Cool40 strategy from UPRO's inception, here's your current position as of March 2,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+66.4% since re-entry.</w:t>
      </w:r>
    </w:p>
    <w:p>
      <w:r>
        <w:t>UPRO's all-time high was $122.23 on January 12, 2026. The current price of $115.32 represents a -5.7% drawdown from that peak -- well within normal volatility and nowhere near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Until then, you hold.</w:t>
      </w:r>
    </w:p>
    <w:p>
      <w:pPr>
        <w:pStyle w:val="Heading1"/>
      </w:pPr>
      <w:r>
        <w:t>Limitations and Honest Caveats</w:t>
      </w:r>
    </w:p>
    <w:p>
      <w:r>
        <w:t>I want to be transparent about what this analysis can and cannot tell us.</w:t>
      </w:r>
    </w:p>
    <w:p>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out-of-sample (0.81 Sharpe on 2017-2026 data using parameters chosen from 2009-2016). The edge may shrink but is unlikely to vanish.</w:t>
      </w:r>
    </w:p>
    <w:p>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r>
        <w:rPr>
          <w:b/>
        </w:rPr>
        <w:t>Volatility decay is real.</w:t>
      </w:r>
      <w:r>
        <w:t xml:space="preserve"> We used actual UPRO prices, so the decay from daily rebalancing is embedded in the data. But over longer periods, 3x daily leverage systematically underperforms 3x the index return. This is a feature of the product, not a modeling error.</w:t>
      </w:r>
    </w:p>
    <w:p>
      <w:r>
        <w:rPr>
          <w:b/>
        </w:rPr>
        <w:t>Price returns vs total returns.</w:t>
      </w:r>
      <w:r>
        <w:t xml:space="preserve"> This analysis uses price returns only (dividends excluded for SPY and related calculations). This is a conservative assumption -- including dividends would modestly improve both the benchmark and timing strategies. UPRO itself targets 3x the daily </w:t>
      </w:r>
      <w:r>
        <w:rPr>
          <w:i/>
        </w:rPr>
        <w:t>price</w:t>
      </w:r>
      <w:r>
        <w:t xml:space="preserve"> return of the S&amp;P 500 (before fees), so this is the appropriate comparison for the UPRO-specific results.</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Conclusion</w:t>
      </w:r>
    </w:p>
    <w:p>
      <w:r>
        <w:t>Simple drawdown-triggered exits can meaningfully improve UPRO's risk profile without exotic indicators, frequent trading, or complex portfolio construction. The DD25%/Cool40 rule -- exit at a 25% drawdown, wait 40 trading days before re-entering -- delivered the highest Sharpe ratio in the analysis (0.90) while cutting the maximum drawdown from -77% to -42%.</w:t>
      </w:r>
    </w:p>
    <w:p>
      <w:r>
        <w:t>The trade-off is real: approximately 12% less terminal wealth over 16+ years. You're giving up about $1.2 million on a $100K starting portfolio. Whether it's worth it depends on whether you'd actually hold through a -77% drawdown. If the honest answer is no, then a strategy that caps your pain at -42% and keeps 88% of the upside is a rational choice.</w:t>
      </w:r>
    </w:p>
    <w:p>
      <w:r>
        <w:t>Robustness testing supports this conclusion. A parameter heatmap shows DD25%/Cool40 sits in a broad region of strong performance, not on a fragile peak. Walk-forward validation (train 2009-2016, test 2017-2026) confirms the approach works out-of-sample. And a synthetic pre-2009 stress test shows the strategy provides modest benefit even through the worst decade in modern market history. Adding SMA re-entry gates, a natural "improvement," actually makes things worse -- the original rule is already well-tuned.</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 am long SPY (5,000+ shares across multiple accounts) and hold deep in-the-money SPY and QQQ LEAPS calls. I do not hold UPRO.</w:t>
      </w:r>
    </w:p>
    <w:p>
      <w:r>
        <w:rPr>
          <w:i/>
          <w:color w:val="666666"/>
          <w:sz w:val="20"/>
        </w:rPr>
        <w:t>The analysis uses historical data from June 2009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