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Long-term Profits by Leveraging the S&amp;P 500</w:t>
      </w:r>
    </w:p>
    <w:p>
      <w:pPr>
        <w:pStyle w:val="Heading1"/>
      </w:pPr>
      <w:r>
        <w:t>Summary</w:t>
      </w:r>
    </w:p>
    <w:p>
      <w:pPr>
        <w:pStyle w:val="ListBullet"/>
      </w:pPr>
      <w:r>
        <w:t>The S&amp;P 500 has compounded at roughly 10% per year (with dividends) since 1950, turning $10,000 into over $4 million. Leveraged ETFs like SSO (2x) and UPRO (3x) amplify those returns -- UPRO has turned $100K into ~$9.5M since 2009 -- but with devastating drawdowns that most investors cannot survive.</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0.85 Sharpe ratio (vs 0.77 for UPRO buy-and-hold and 0.81 for plain SPY) and cut the maximum drawdown from -77% to -42%, at the cost of about 12% less terminal wealth. Walk-forward validation, parameter heatmaps, and a synthetic pre-2009 stress test suggest the parameters are not a fragile optimum, but block-bootstrap analysis shows the Sharpe advantage depends materially on the sequencing of returns -- making this a useful practical overlay for recent-style regimes, not a universal improvement.</w:t>
      </w:r>
    </w:p>
    <w:p>
      <w:pPr>
        <w:pStyle w:val="ListBullet"/>
      </w:pPr>
      <w:r>
        <w:t>An enhancement: parking idle cash in TLT (long-term Treasuries) instead of T-bills during cooling periods pushes the Sharpe to 0.88 and terminal wealth to $10.4M -- actually beating UPRO buy-and-hold -- by harvesting flight-to-quality rallies when stocks crash. Block-bootstrap analysis (reshuffling paired UPRO/TLT return blocks and re-running the strategy) shows both variants maintain positive Sharpe in 99.8%+ of simulations, though TLT's advantage over T-bills is regime-dependent rather than structural.</w:t>
      </w:r>
    </w:p>
    <w:p>
      <w:pPr>
        <w:pStyle w:val="Heading1"/>
      </w:pPr>
      <w:r>
        <w:t>The Case for Leveraged Index Investing</w:t>
      </w:r>
    </w:p>
    <w:p>
      <w:r>
        <w:t>Many conservative long-term investors allocate heavily to S&amp;P 500 index funds -- and history vindicates them. Since January 1950, the S&amp;P 500 has delivered approximately 8.2% annually in price appreciation alone. Including reinvested dividends, the total return rises to roughly 10-11% per year. A $10,000 investment at the start of 1950 would have grown to over $4 million in price terms -- and substantially more with dividends reinvested. Few investment strategies can match this combination of simplicity, diversification, and compounding power over multiple decades.</w:t>
      </w:r>
    </w:p>
    <w:p>
      <w:r>
        <w:t>With such a strong track record, a natural question arises: what would happen if the investment were leveraged?</w:t>
      </w:r>
    </w:p>
    <w:p>
      <w:r>
        <w:t xml:space="preserve">Two exchange-traded funds make this straightforward for retail investors. </w:t>
      </w:r>
      <w:r>
        <w:rPr>
          <w:b/>
        </w:rPr>
        <w:t>SSO</w:t>
      </w:r>
      <w:r>
        <w:t xml:space="preserve"> (ProShares Ultra S&amp;P 500) provides 2x daily leveraged exposure to the S&amp;P 500 and has been available since June 2006. </w:t>
      </w:r>
      <w:r>
        <w:rPr>
          <w:b/>
        </w:rPr>
        <w:t>UPRO</w:t>
      </w:r>
      <w:r>
        <w:t xml:space="preserve"> (ProShares UltraPro S&amp;P 500) provides 3x daily leverage and launched in June 2009. Both reset their leverage ratio daily -- a critical mechanical detail I'll return to shortly.</w:t>
      </w:r>
    </w:p>
    <w:p>
      <w:r>
        <w:t>The raw numbers are compelling. Since inception, a $100,000 investment in SSO would have grown to approximately $1.5 million (a 14.9% compound annual growth rate). UPRO has been even more dramatic: $100,000 invested at inception has grown to roughly $9.5 million, a 31.4% CAGR over 16+ years. No mainstream ETF comes close to these figures.</w:t>
      </w:r>
    </w:p>
    <w:p>
      <w:r>
        <w:t>But these headline returns mask serious risks that most investors underestimate.</w:t>
      </w:r>
    </w:p>
    <w:p>
      <w:pPr>
        <w:pStyle w:val="Heading1"/>
      </w:pPr>
      <w:r>
        <w:t>The Problem With Leveraged ETFs</w:t>
      </w:r>
    </w:p>
    <w:p>
      <w:r>
        <w:t>UPRO's track record is one of the most striking backtests in retail investing. A 31% CAGR turns $100K into nearly 100x in 16 years. The temptation to simply buy and hold is powerful.</w:t>
      </w:r>
    </w:p>
    <w:p>
      <w:r>
        <w:t xml:space="preserve">You already know the catch. That leverage cuts both ways. During the COVID crash, UPRO fell from $38.73 on February 19, 2020 to $8.98 on March 23 -- a </w:t>
      </w:r>
      <w:r>
        <w:rPr>
          <w:b/>
        </w:rPr>
        <w:t>-76.8%</w:t>
      </w:r>
      <w:r>
        <w:t xml:space="preserve"> drawdown in just 23 trading days. That remains its worst decline ever. The 2022 rate-hiking bear market inflicted a -63.9% drawdown (from $75.08 to $27.07 over nine months). These are not outliers. They are the recurring cost of 3x leverage.</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There's also a structural issue. UPRO resets its 3x leverage daily, which means it's subject to volatility decay -- sometimes called the "constant leverage trap." In a choppy, sideways market, UPRO can lose money even if the S&amp;P 500 ends up flat. As ProShares themselves warn: "Due to the compounding of daily returns, ProShares' returns over periods other than one day will likely differ in amount and possibly direction from the target return for the same period." This is not a set-and-forget instrument, regardless of what the long-term backtest suggests.</w:t>
      </w:r>
    </w:p>
    <w:p>
      <w:r>
        <w:t>This article asks a simple question: can you systematically reduce UPRO's drawdowns while keeping most of the upside? Not a magic system -- a risk management framework. I tested five approaches, each using a different market signal, across 16+ years of actual UPRO price data. The results are instructive.</w:t>
      </w:r>
    </w:p>
    <w:p>
      <w:pPr>
        <w:pStyle w:val="Heading1"/>
      </w:pPr>
      <w:r>
        <w:t>What I Tested</w:t>
      </w:r>
    </w:p>
    <w:p>
      <w:r>
        <w:t>I used actual UPRO daily prices from inception (June 25,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dividend-adjusted (auto_adjust). All returns include reinvested distributions for all instruments (see Limitations section for details).</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Treasury bill rate (^IRX). The quoted annual yield is converted to a daily rate assuming 252 trading days per year and compounded on each trading day when the strategy is in cash.</w:t>
      </w:r>
    </w:p>
    <w:p>
      <w:pPr>
        <w:pStyle w:val="ListBullet"/>
      </w:pPr>
      <w:r>
        <w:rPr>
          <w:b/>
        </w:rPr>
        <w:t>Slippage:</w:t>
      </w:r>
      <w:r>
        <w:t xml:space="preserve"> Not modeled. Given the liquidity of the instruments tested (UPRO, SPY, TLT), the impact should be small relative to the magnitude of the results, though open-auction spreads can widen during stress periods.</w:t>
      </w:r>
    </w:p>
    <w:p>
      <w:pPr>
        <w:pStyle w:val="ListBullet"/>
      </w:pPr>
      <w:r>
        <w:rPr>
          <w:b/>
        </w:rPr>
        <w:t>No intraday stops:</w:t>
      </w:r>
      <w:r>
        <w:t xml:space="preserve"> All signals are end-of-day close-based. No intraday monitoring is required. All-time highs and drawdowns are measured on closing prices, not intraday.</w:t>
      </w:r>
    </w:p>
    <w:p>
      <w:pPr>
        <w:pStyle w:val="ListBullet"/>
      </w:pPr>
      <w:r>
        <w:rPr>
          <w:b/>
        </w:rPr>
        <w:t>Sharpe and Sortino ratios:</w:t>
      </w:r>
      <w:r>
        <w:t xml:space="preserve"> Computed using excess returns over the average 13-week T-bill rate (^IRX) prevailing during the strategy's time period, annualized. Calmar ratio uses excess CAGR over the same average risk-free rate.</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I'm trying to beat -- and what I'm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$9,530,442</w:t>
            </w:r>
          </w:p>
        </w:tc>
      </w:tr>
      <w:tr>
        <w:tc>
          <w:tcPr>
            <w:tcW w:type="dxa" w:w="4392"/>
          </w:tcPr>
          <w:p>
            <w:pPr>
              <w:jc w:val="left"/>
            </w:pPr>
            <w:r>
              <w:rPr>
                <w:sz w:val="18"/>
              </w:rPr>
              <w:t>CAGR</w:t>
            </w:r>
          </w:p>
        </w:tc>
        <w:tc>
          <w:tcPr>
            <w:tcW w:type="dxa" w:w="4392"/>
          </w:tcPr>
          <w:p>
            <w:pPr>
              <w:jc w:val="center"/>
            </w:pPr>
            <w:r>
              <w:rPr>
                <w:sz w:val="18"/>
              </w:rPr>
              <w:t>+31.4%</w:t>
            </w:r>
          </w:p>
        </w:tc>
      </w:tr>
      <w:tr>
        <w:tc>
          <w:tcPr>
            <w:tcW w:type="dxa" w:w="4392"/>
          </w:tcPr>
          <w:p>
            <w:pPr>
              <w:jc w:val="left"/>
            </w:pPr>
            <w:r>
              <w:rPr>
                <w:sz w:val="18"/>
              </w:rPr>
              <w:t>Sharpe Ratio</w:t>
            </w:r>
          </w:p>
        </w:tc>
        <w:tc>
          <w:tcPr>
            <w:tcW w:type="dxa" w:w="4392"/>
          </w:tcPr>
          <w:p>
            <w:pPr>
              <w:jc w:val="center"/>
            </w:pPr>
            <w:r>
              <w:rPr>
                <w:sz w:val="18"/>
              </w:rPr>
              <w:t>0.77</w:t>
            </w:r>
          </w:p>
        </w:tc>
      </w:tr>
      <w:tr>
        <w:tc>
          <w:tcPr>
            <w:tcW w:type="dxa" w:w="4392"/>
          </w:tcPr>
          <w:p>
            <w:pPr>
              <w:jc w:val="left"/>
            </w:pPr>
            <w:r>
              <w:rPr>
                <w:sz w:val="18"/>
              </w:rPr>
              <w:t>Sortino Ratio</w:t>
            </w:r>
          </w:p>
        </w:tc>
        <w:tc>
          <w:tcPr>
            <w:tcW w:type="dxa" w:w="4392"/>
          </w:tcPr>
          <w:p>
            <w:pPr>
              <w:jc w:val="center"/>
            </w:pPr>
            <w:r>
              <w:rPr>
                <w:sz w:val="18"/>
              </w:rPr>
              <w:t>0.95</w:t>
            </w:r>
          </w:p>
        </w:tc>
      </w:tr>
      <w:tr>
        <w:tc>
          <w:tcPr>
            <w:tcW w:type="dxa" w:w="4392"/>
          </w:tcPr>
          <w:p>
            <w:pPr>
              <w:jc w:val="left"/>
            </w:pPr>
            <w:r>
              <w:rPr>
                <w:sz w:val="18"/>
              </w:rPr>
              <w:t>Calmar Ratio</w:t>
            </w:r>
          </w:p>
        </w:tc>
        <w:tc>
          <w:tcPr>
            <w:tcW w:type="dxa" w:w="4392"/>
          </w:tcPr>
          <w:p>
            <w:pPr>
              <w:jc w:val="center"/>
            </w:pPr>
            <w:r>
              <w:rPr>
                <w:sz w:val="18"/>
              </w:rPr>
              <w:t>0.39</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 xml:space="preserve">These are extraordinary numbers. With T-bill cash, no timing strategy in this analysis matches buy-and-hold on total return -- though as I show later, parking idle cash in TLT during cooling periods does beat it. If maximizing terminal wealth is your only goal and you have the iron stomach to hold through a -77% drawdown -- and I mean genuinely hold, not just say you would in a hypothetical -- then buy-and-hold is hard to beat. (For comparison, plain SPY buy-and-hold over the same period has a 0.81 Sharpe -- UPRO's 3x leverage actually </w:t>
      </w:r>
      <w:r>
        <w:rPr>
          <w:i/>
        </w:rPr>
        <w:t>reduces</w:t>
      </w:r>
      <w:r>
        <w:t xml:space="preserve"> risk-adjusted returns while tripling the volatility.)</w:t>
      </w:r>
    </w:p>
    <w:p>
      <w:r>
        <w:t xml:space="preserve">But an important caveat that deserves emphasis: this entire test period is overwhelmingly bullish. UPRO's inception happened to coincide with the beginning of the longest bull market in American history -- the run from March 2009 to February 2020, roughly 131 months before it ended with the COVID crash. Every timing strategy that says "hold UPRO most of the time" will look great in a period that is almost entirely up. There is no actual UPRO data for 2000-2009, which would have been devastating. The 2009-2026 period includes drawdowns, but they were all followed by sharp recoveries -- a pattern that may not repeat. Results from this period should be treated as evidence of what </w:t>
      </w:r>
      <w:r>
        <w:rPr>
          <w:i/>
        </w:rPr>
        <w:t>has</w:t>
      </w:r>
      <w:r>
        <w:t xml:space="preserve"> worked, not a guarantee of what </w:t>
      </w:r>
      <w:r>
        <w:rPr>
          <w:i/>
        </w:rPr>
        <w:t>will</w:t>
      </w:r>
      <w:r>
        <w:t xml:space="preserve"> work. (I address the pre-2009 gap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a systematic approach can navigate those periods more gracefully.</w:t>
      </w:r>
    </w:p>
    <w:p>
      <w:pPr>
        <w:pStyle w:val="Heading1"/>
      </w:pPr>
      <w:r>
        <w:t>The Cost of Daily Leverage: UPRO vs. Synthetic 3x SPY</w:t>
      </w:r>
    </w:p>
    <w:p>
      <w:r>
        <w:t>Before getting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 (The 6% margin rate reflects a competitive retail broker rate. Interactive Brokers, the industry's cheapest, currently charges roughly 5-6% all-in depending on account type and balance tier. Most retail brokers charge 8-12%. The all-in rate is the broker's spread over the prevailing benchmark rate, not the spread alone.)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$983,169</w:t>
            </w:r>
          </w:p>
        </w:tc>
        <w:tc>
          <w:tcPr>
            <w:tcW w:type="dxa" w:w="1464"/>
          </w:tcPr>
          <w:p>
            <w:pPr>
              <w:jc w:val="center"/>
            </w:pPr>
            <w:r>
              <w:rPr>
                <w:sz w:val="18"/>
              </w:rPr>
              <w:t>+14.7%</w:t>
            </w:r>
          </w:p>
        </w:tc>
        <w:tc>
          <w:tcPr>
            <w:tcW w:type="dxa" w:w="1464"/>
          </w:tcPr>
          <w:p>
            <w:pPr>
              <w:jc w:val="center"/>
            </w:pPr>
            <w:r>
              <w:rPr>
                <w:sz w:val="18"/>
              </w:rPr>
              <w:t>0.81</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$21,250,484</w:t>
            </w:r>
          </w:p>
        </w:tc>
        <w:tc>
          <w:tcPr>
            <w:tcW w:type="dxa" w:w="1464"/>
          </w:tcPr>
          <w:p>
            <w:pPr>
              <w:jc w:val="center"/>
            </w:pPr>
            <w:r>
              <w:rPr>
                <w:sz w:val="18"/>
              </w:rPr>
              <w:t>+37.9%</w:t>
            </w:r>
          </w:p>
        </w:tc>
        <w:tc>
          <w:tcPr>
            <w:tcW w:type="dxa" w:w="1464"/>
          </w:tcPr>
          <w:p>
            <w:pPr>
              <w:jc w:val="center"/>
            </w:pPr>
            <w:r>
              <w:rPr>
                <w:sz w:val="18"/>
              </w:rPr>
              <w:t>0.86</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$2,880,158</w:t>
            </w:r>
          </w:p>
        </w:tc>
        <w:tc>
          <w:tcPr>
            <w:tcW w:type="dxa" w:w="1464"/>
          </w:tcPr>
          <w:p>
            <w:pPr>
              <w:jc w:val="center"/>
            </w:pPr>
            <w:r>
              <w:rPr>
                <w:sz w:val="18"/>
              </w:rPr>
              <w:t>+22.3%</w:t>
            </w:r>
          </w:p>
        </w:tc>
        <w:tc>
          <w:tcPr>
            <w:tcW w:type="dxa" w:w="1464"/>
          </w:tcPr>
          <w:p>
            <w:pPr>
              <w:jc w:val="center"/>
            </w:pPr>
            <w:r>
              <w:rPr>
                <w:sz w:val="18"/>
              </w:rPr>
              <w:t>0.63</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$2,406,044</w:t>
            </w:r>
          </w:p>
        </w:tc>
        <w:tc>
          <w:tcPr>
            <w:tcW w:type="dxa" w:w="1464"/>
          </w:tcPr>
          <w:p>
            <w:pPr>
              <w:jc w:val="center"/>
            </w:pPr>
            <w:r>
              <w:rPr>
                <w:sz w:val="18"/>
              </w:rPr>
              <w:t>+21.0%</w:t>
            </w:r>
          </w:p>
        </w:tc>
        <w:tc>
          <w:tcPr>
            <w:tcW w:type="dxa" w:w="1464"/>
          </w:tcPr>
          <w:p>
            <w:pPr>
              <w:jc w:val="center"/>
            </w:pPr>
            <w:r>
              <w:rPr>
                <w:sz w:val="18"/>
              </w:rPr>
              <w:t>0.75</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$9,530,442</w:t>
            </w:r>
          </w:p>
        </w:tc>
        <w:tc>
          <w:tcPr>
            <w:tcW w:type="dxa" w:w="1464"/>
          </w:tcPr>
          <w:p>
            <w:pPr>
              <w:jc w:val="center"/>
            </w:pPr>
            <w:r>
              <w:rPr>
                <w:sz w:val="18"/>
              </w:rPr>
              <w:t>+31.4%</w:t>
            </w:r>
          </w:p>
        </w:tc>
        <w:tc>
          <w:tcPr>
            <w:tcW w:type="dxa" w:w="1464"/>
          </w:tcPr>
          <w:p>
            <w:pPr>
              <w:jc w:val="center"/>
            </w:pPr>
            <w:r>
              <w:rPr>
                <w:sz w:val="18"/>
              </w:rPr>
              <w:t>0.77</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$21.3M vs UPRO's $9.5M. That $11.8M gap is the cumulative cost of UPRO's 0.89% expense ratio, rebalancing slippage, and tracking error over 16+ years. Yet UPRO still crushes margin-based leverage ($2.9M for daily-rebalanced, $2.4M for static) because its embedded borrowing costs are far lower than retail margin rates -- even at the cheapest broker available.</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w:t>
      </w:r>
    </w:p>
    <w:p>
      <w:r>
        <w:t xml:space="preserve">The full 1950-2026 case is the most instructive. Despite the S&amp;P 500 compounding at +8.2% annually for 76 years, the static 3x account got margin-called during the 1973-74 bear market -- </w:t>
      </w:r>
      <w:r>
        <w:rPr>
          <w:i/>
        </w:rPr>
        <w:t>24 years</w:t>
      </w:r>
      <w:r>
        <w:t xml:space="preserve"> after inception. Here's how: the initial $200K loan compounds at 6% annually, growing to approximately $875K by 1974. Meanwhile, the S&amp;P rose from 17 to a peak of ~120 before crashing to ~64 during the 1973-74 bear market. The account's peak equity reached $1.37M, but by the time the S&amp;P had dropped ~47%, the position value ($1.14M) minus the swollen debt ($875K) left only $269K in equity -- below the 25% maintenance requirement on the position. The margin call fires, the position is liquidated, and the account sits in cash for the remaining 52 years while unlevered S&amp;P 500 grew to $41.3 million. The lesson: even massive accumulated gains cannot overcome the slow poison of compounding interest on a static loan when a severe bear market eventually arrives.</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 a fraction of the S&amp;P 500's $41.3M at 1x. Three times the risk, one-twentieth the return. During the lost decade (2000-2009),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 During the test period (June 2009 to March 2026), VIX ranged from 9 to 83, with a median of 17 and a mean of 19. The 25th percentile was 14, the 75th percentile was 22, and VIX spent 86% of trading days below 25.</w:t>
      </w:r>
    </w:p>
    <w:p>
      <w:r>
        <w:t>The problem is that VIX is reactive, not predictive. By the time VIX spikes above 25 (which happens only 14% of trading days), you've already taken the first leg of the drawdown. And VIX often stays elevated during the early stages of recovery, causing you to miss the bounce.</w:t>
      </w:r>
    </w:p>
    <w:p>
      <w:r>
        <w:t>The best VIX variant (VIX &lt; 30) produced a $4.0M end value with a 0.71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$570K. CAGR: +11.0%. Sharpe: 0.45.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$3.2M. CAGR: +23.1%. Sharpe: 0.82. Sortino: 1.07. Max drawdown: -70.5%. The 67 "trades" are quarterly rebalancing events (adjusting the 55/45 allocation every ~63 trading days), not round-trip trades.</w:t>
      </w:r>
    </w:p>
    <w:p>
      <w:r>
        <w:t>HFEA has the best Sortino ratio among the five base strategies (1.07) -- meaning it handles downside volatility particularly well relative to its upside. (The DD25%/Cool40+TLT variant introduced later edges it at 1.12.)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Best Risk-Adjusted Performer</w:t>
      </w:r>
    </w:p>
    <w:p>
      <w:r>
        <w:t>This is the simplest concept and it produced the strongest risk-adjusted results in this backtest.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$649K</w:t>
            </w:r>
          </w:p>
        </w:tc>
        <w:tc>
          <w:tcPr>
            <w:tcW w:type="dxa" w:w="1255"/>
          </w:tcPr>
          <w:p>
            <w:pPr>
              <w:jc w:val="center"/>
            </w:pPr>
            <w:r>
              <w:rPr>
                <w:sz w:val="18"/>
              </w:rPr>
              <w:t>+11.9%</w:t>
            </w:r>
          </w:p>
        </w:tc>
        <w:tc>
          <w:tcPr>
            <w:tcW w:type="dxa" w:w="1255"/>
          </w:tcPr>
          <w:p>
            <w:pPr>
              <w:jc w:val="center"/>
            </w:pPr>
            <w:r>
              <w:rPr>
                <w:sz w:val="18"/>
              </w:rPr>
              <w:t>0.46</w:t>
            </w:r>
          </w:p>
        </w:tc>
        <w:tc>
          <w:tcPr>
            <w:tcW w:type="dxa" w:w="1255"/>
          </w:tcPr>
          <w:p>
            <w:pPr>
              <w:jc w:val="center"/>
            </w:pPr>
            <w:r>
              <w:rPr>
                <w:sz w:val="18"/>
              </w:rPr>
              <w:t>-55.9%</w:t>
            </w:r>
          </w:p>
        </w:tc>
        <w:tc>
          <w:tcPr>
            <w:tcW w:type="dxa" w:w="1255"/>
          </w:tcPr>
          <w:p>
            <w:pPr>
              <w:jc w:val="center"/>
            </w:pPr>
            <w:r>
              <w:rPr>
                <w:sz w:val="18"/>
              </w:rPr>
              <w:t>156</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$1.9M</w:t>
            </w:r>
          </w:p>
        </w:tc>
        <w:tc>
          <w:tcPr>
            <w:tcW w:type="dxa" w:w="1255"/>
          </w:tcPr>
          <w:p>
            <w:pPr>
              <w:jc w:val="center"/>
            </w:pPr>
            <w:r>
              <w:rPr>
                <w:sz w:val="18"/>
              </w:rPr>
              <w:t>+19.3%</w:t>
            </w:r>
          </w:p>
        </w:tc>
        <w:tc>
          <w:tcPr>
            <w:tcW w:type="dxa" w:w="1255"/>
          </w:tcPr>
          <w:p>
            <w:pPr>
              <w:jc w:val="center"/>
            </w:pPr>
            <w:r>
              <w:rPr>
                <w:sz w:val="18"/>
              </w:rPr>
              <w:t>0.70</w:t>
            </w:r>
          </w:p>
        </w:tc>
        <w:tc>
          <w:tcPr>
            <w:tcW w:type="dxa" w:w="1255"/>
          </w:tcPr>
          <w:p>
            <w:pPr>
              <w:jc w:val="center"/>
            </w:pPr>
            <w:r>
              <w:rPr>
                <w:sz w:val="18"/>
              </w:rPr>
              <w:t>-52.4%</w:t>
            </w:r>
          </w:p>
        </w:tc>
        <w:tc>
          <w:tcPr>
            <w:tcW w:type="dxa" w:w="1255"/>
          </w:tcPr>
          <w:p>
            <w:pPr>
              <w:jc w:val="center"/>
            </w:pPr>
            <w:r>
              <w:rPr>
                <w:sz w:val="18"/>
              </w:rPr>
              <w:t>120</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$1.5M</w:t>
            </w:r>
          </w:p>
        </w:tc>
        <w:tc>
          <w:tcPr>
            <w:tcW w:type="dxa" w:w="1255"/>
          </w:tcPr>
          <w:p>
            <w:pPr>
              <w:jc w:val="center"/>
            </w:pPr>
            <w:r>
              <w:rPr>
                <w:sz w:val="18"/>
              </w:rPr>
              <w:t>+17.4%</w:t>
            </w:r>
          </w:p>
        </w:tc>
        <w:tc>
          <w:tcPr>
            <w:tcW w:type="dxa" w:w="1255"/>
          </w:tcPr>
          <w:p>
            <w:pPr>
              <w:jc w:val="center"/>
            </w:pPr>
            <w:r>
              <w:rPr>
                <w:sz w:val="18"/>
              </w:rPr>
              <w:t>0.68</w:t>
            </w:r>
          </w:p>
        </w:tc>
        <w:tc>
          <w:tcPr>
            <w:tcW w:type="dxa" w:w="1255"/>
          </w:tcPr>
          <w:p>
            <w:pPr>
              <w:jc w:val="center"/>
            </w:pPr>
            <w:r>
              <w:rPr>
                <w:sz w:val="18"/>
              </w:rPr>
              <w:t>-45.1%</w:t>
            </w:r>
          </w:p>
        </w:tc>
        <w:tc>
          <w:tcPr>
            <w:tcW w:type="dxa" w:w="1255"/>
          </w:tcPr>
          <w:p>
            <w:pPr>
              <w:jc w:val="center"/>
            </w:pPr>
            <w:r>
              <w:rPr>
                <w:sz w:val="18"/>
              </w:rPr>
              <w:t>104</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$1.4M</w:t>
            </w:r>
          </w:p>
        </w:tc>
        <w:tc>
          <w:tcPr>
            <w:tcW w:type="dxa" w:w="1255"/>
          </w:tcPr>
          <w:p>
            <w:pPr>
              <w:jc w:val="center"/>
            </w:pPr>
            <w:r>
              <w:rPr>
                <w:sz w:val="18"/>
              </w:rPr>
              <w:t>+17.1%</w:t>
            </w:r>
          </w:p>
        </w:tc>
        <w:tc>
          <w:tcPr>
            <w:tcW w:type="dxa" w:w="1255"/>
          </w:tcPr>
          <w:p>
            <w:pPr>
              <w:jc w:val="center"/>
            </w:pPr>
            <w:r>
              <w:rPr>
                <w:sz w:val="18"/>
              </w:rPr>
              <w:t>0.57</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$1.8M</w:t>
            </w:r>
          </w:p>
        </w:tc>
        <w:tc>
          <w:tcPr>
            <w:tcW w:type="dxa" w:w="1255"/>
          </w:tcPr>
          <w:p>
            <w:pPr>
              <w:jc w:val="center"/>
            </w:pPr>
            <w:r>
              <w:rPr>
                <w:sz w:val="18"/>
              </w:rPr>
              <w:t>+19.1%</w:t>
            </w:r>
          </w:p>
        </w:tc>
        <w:tc>
          <w:tcPr>
            <w:tcW w:type="dxa" w:w="1255"/>
          </w:tcPr>
          <w:p>
            <w:pPr>
              <w:jc w:val="center"/>
            </w:pPr>
            <w:r>
              <w:rPr>
                <w:sz w:val="18"/>
              </w:rPr>
              <w:t>0.64</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$414K</w:t>
            </w:r>
          </w:p>
        </w:tc>
        <w:tc>
          <w:tcPr>
            <w:tcW w:type="dxa" w:w="1255"/>
          </w:tcPr>
          <w:p>
            <w:pPr>
              <w:jc w:val="center"/>
            </w:pPr>
            <w:r>
              <w:rPr>
                <w:sz w:val="18"/>
              </w:rPr>
              <w:t>+8.9%</w:t>
            </w:r>
          </w:p>
        </w:tc>
        <w:tc>
          <w:tcPr>
            <w:tcW w:type="dxa" w:w="1255"/>
          </w:tcPr>
          <w:p>
            <w:pPr>
              <w:jc w:val="center"/>
            </w:pPr>
            <w:r>
              <w:rPr>
                <w:sz w:val="18"/>
              </w:rPr>
              <w:t>0.39</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$9.3M</w:t>
            </w:r>
          </w:p>
        </w:tc>
        <w:tc>
          <w:tcPr>
            <w:tcW w:type="dxa" w:w="1255"/>
          </w:tcPr>
          <w:p>
            <w:pPr>
              <w:jc w:val="center"/>
            </w:pPr>
            <w:r>
              <w:rPr>
                <w:sz w:val="18"/>
              </w:rPr>
              <w:t>+31.2%</w:t>
            </w:r>
          </w:p>
        </w:tc>
        <w:tc>
          <w:tcPr>
            <w:tcW w:type="dxa" w:w="1255"/>
          </w:tcPr>
          <w:p>
            <w:pPr>
              <w:jc w:val="center"/>
            </w:pPr>
            <w:r>
              <w:rPr>
                <w:sz w:val="18"/>
              </w:rPr>
              <w:t>0.84</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$3.8M</w:t>
            </w:r>
          </w:p>
        </w:tc>
        <w:tc>
          <w:tcPr>
            <w:tcW w:type="dxa" w:w="1255"/>
          </w:tcPr>
          <w:p>
            <w:pPr>
              <w:jc w:val="center"/>
            </w:pPr>
            <w:r>
              <w:rPr>
                <w:sz w:val="18"/>
              </w:rPr>
              <w:t>+24.3%</w:t>
            </w:r>
          </w:p>
        </w:tc>
        <w:tc>
          <w:tcPr>
            <w:tcW w:type="dxa" w:w="1255"/>
          </w:tcPr>
          <w:p>
            <w:pPr>
              <w:jc w:val="center"/>
            </w:pPr>
            <w:r>
              <w:rPr>
                <w:sz w:val="18"/>
              </w:rPr>
              <w:t>0.74</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$863K</w:t>
            </w:r>
          </w:p>
        </w:tc>
        <w:tc>
          <w:tcPr>
            <w:tcW w:type="dxa" w:w="1255"/>
          </w:tcPr>
          <w:p>
            <w:pPr>
              <w:jc w:val="center"/>
            </w:pPr>
            <w:r>
              <w:rPr>
                <w:sz w:val="18"/>
              </w:rPr>
              <w:t>+13.8%</w:t>
            </w:r>
          </w:p>
        </w:tc>
        <w:tc>
          <w:tcPr>
            <w:tcW w:type="dxa" w:w="1255"/>
          </w:tcPr>
          <w:p>
            <w:pPr>
              <w:jc w:val="center"/>
            </w:pPr>
            <w:r>
              <w:rPr>
                <w:sz w:val="18"/>
              </w:rPr>
              <w:t>0.52</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$9.4M</w:t>
            </w:r>
          </w:p>
        </w:tc>
        <w:tc>
          <w:tcPr>
            <w:tcW w:type="dxa" w:w="1255"/>
          </w:tcPr>
          <w:p>
            <w:pPr>
              <w:jc w:val="center"/>
            </w:pPr>
            <w:r>
              <w:rPr>
                <w:sz w:val="18"/>
              </w:rPr>
              <w:t>+31.3%</w:t>
            </w:r>
          </w:p>
        </w:tc>
        <w:tc>
          <w:tcPr>
            <w:tcW w:type="dxa" w:w="1255"/>
          </w:tcPr>
          <w:p>
            <w:pPr>
              <w:jc w:val="center"/>
            </w:pPr>
            <w:r>
              <w:rPr>
                <w:sz w:val="18"/>
              </w:rPr>
              <w:t>0.82</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$8.4M</w:t>
            </w:r>
          </w:p>
        </w:tc>
        <w:tc>
          <w:tcPr>
            <w:tcW w:type="dxa" w:w="1255"/>
          </w:tcPr>
          <w:p>
            <w:pPr>
              <w:jc w:val="center"/>
            </w:pPr>
            <w:r>
              <w:rPr>
                <w:b/>
                <w:sz w:val="18"/>
              </w:rPr>
              <w:t>+30.5%</w:t>
            </w:r>
          </w:p>
        </w:tc>
        <w:tc>
          <w:tcPr>
            <w:tcW w:type="dxa" w:w="1255"/>
          </w:tcPr>
          <w:p>
            <w:pPr>
              <w:jc w:val="center"/>
            </w:pPr>
            <w:r>
              <w:rPr>
                <w:b/>
                <w:sz w:val="18"/>
              </w:rPr>
              <w:t>0.85</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$1.9M</w:t>
            </w:r>
          </w:p>
        </w:tc>
        <w:tc>
          <w:tcPr>
            <w:tcW w:type="dxa" w:w="1255"/>
          </w:tcPr>
          <w:p>
            <w:pPr>
              <w:jc w:val="center"/>
            </w:pPr>
            <w:r>
              <w:rPr>
                <w:sz w:val="18"/>
              </w:rPr>
              <w:t>+19.4%</w:t>
            </w:r>
          </w:p>
        </w:tc>
        <w:tc>
          <w:tcPr>
            <w:tcW w:type="dxa" w:w="1255"/>
          </w:tcPr>
          <w:p>
            <w:pPr>
              <w:jc w:val="center"/>
            </w:pPr>
            <w:r>
              <w:rPr>
                <w:sz w:val="18"/>
              </w:rPr>
              <w:t>0.64</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$414K end value is dramatically worse than nearby variants ($1.8M for DD15%/Cool40, $1.4M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(I address parameter sensitivity directly in the robustness section below.)</w:t>
      </w:r>
    </w:p>
    <w:p>
      <w:r>
        <w:t xml:space="preserve">The standout is </w:t>
      </w:r>
      <w:r>
        <w:rPr>
          <w:b/>
        </w:rPr>
        <w:t>DD25%/Cool40</w:t>
      </w:r>
      <w:r>
        <w:t>: exit when UPRO drops 25% from its peak, wait at least 40 trading days (~2 months) before re-entering. But it's worth noting that DD25%/Cool40 is representative of a family of competitive parameters -- the heatmap below shows that DD20-25%/Cool20-40 all produce Sharpe ratios above 0.74. The specific "best" parameters would shift with a different test period. I use DD25%/Cool40 throughout as a concrete example, not as a claim that these exact numbers are uniquely optimal.</w:t>
      </w:r>
    </w:p>
    <w:p>
      <w:r>
        <w:t>Why it works: the 25% threshold is wide enough to avoid whipsaws from normal UPRO volatility (this is a 3x fund -- 10-15% pullbacks happen routinely) but catches genuine bear markets. There's a deeper mechanism at work here. Because UPRO is 3x leveraged, its price amplifies not just returns but volatility itself. A 25% UPRO drawdown typically corresponds to a high-single-digit or low-double-digit decline in SPY -- roughly the range where ordinary corrections begin to evolve into true market-stress regimes marked by elevated volatility, forced deleveraging, and unstable price action. In that sense, the rule may function less as a traditional trend-following signal and more as a volatility-regime detector for a leveraged ETF. (I explore this further in the robustness section below.)</w:t>
      </w:r>
    </w:p>
    <w:p>
      <w:r>
        <w:t>The 40-day cooling period forces patience. You don't buy the first dead-cat bounce. You wait for the storm to pass. This works partly because volatility clusters: after a large drawdown, the probability of continued violent price action remains elevated for weeks. The cooling period is a crude but effective way of staying out until that turbulence subsides.</w:t>
      </w:r>
    </w:p>
    <w:p>
      <w:r>
        <w:t xml:space="preserve">The trade-off is explicit: you give up about $1.1 million in terminal wealth (12% of buy-and-hold's end value) in exchange for a maximum drawdown that's </w:t>
      </w:r>
      <w:r>
        <w:rPr>
          <w:b/>
        </w:rPr>
        <w:t>35 percentage points better</w:t>
      </w:r>
      <w:r>
        <w:t xml:space="preserve"> (-41.8% vs -76.8%). The Sharpe ratio improved from 0.77 to 0.85 over this test period. 31 trade signals (~15 round trips) over 16+ years. You're invested 86% of the time. (As we'll see shortly, a different cash vehicle during cooling periods can erase most of this wealth gap.)</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$1.1M end value, +15.5% CAGR, 0.55 Sharpe, -61.1% max DD. Composite 3-of-3: $836K, +13.6% CAGR, 0.55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$9.5M</w:t>
            </w:r>
          </w:p>
        </w:tc>
        <w:tc>
          <w:tcPr>
            <w:tcW w:type="dxa" w:w="1255"/>
          </w:tcPr>
          <w:p>
            <w:pPr>
              <w:jc w:val="center"/>
            </w:pPr>
            <w:r>
              <w:rPr>
                <w:b/>
                <w:sz w:val="18"/>
              </w:rPr>
              <w:t>+31.4%</w:t>
            </w:r>
          </w:p>
        </w:tc>
        <w:tc>
          <w:tcPr>
            <w:tcW w:type="dxa" w:w="1255"/>
          </w:tcPr>
          <w:p>
            <w:pPr>
              <w:jc w:val="center"/>
            </w:pPr>
            <w:r>
              <w:rPr>
                <w:b/>
                <w:sz w:val="18"/>
              </w:rPr>
              <w:t>0.77</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0.71</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$570K</w:t>
            </w:r>
          </w:p>
        </w:tc>
        <w:tc>
          <w:tcPr>
            <w:tcW w:type="dxa" w:w="1255"/>
          </w:tcPr>
          <w:p>
            <w:pPr>
              <w:jc w:val="center"/>
            </w:pPr>
            <w:r>
              <w:rPr>
                <w:sz w:val="18"/>
              </w:rPr>
              <w:t>+11.0%</w:t>
            </w:r>
          </w:p>
        </w:tc>
        <w:tc>
          <w:tcPr>
            <w:tcW w:type="dxa" w:w="1255"/>
          </w:tcPr>
          <w:p>
            <w:pPr>
              <w:jc w:val="center"/>
            </w:pPr>
            <w:r>
              <w:rPr>
                <w:sz w:val="18"/>
              </w:rPr>
              <w:t>0.45</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$3.2M</w:t>
            </w:r>
          </w:p>
        </w:tc>
        <w:tc>
          <w:tcPr>
            <w:tcW w:type="dxa" w:w="1255"/>
          </w:tcPr>
          <w:p>
            <w:pPr>
              <w:jc w:val="center"/>
            </w:pPr>
            <w:r>
              <w:rPr>
                <w:sz w:val="18"/>
              </w:rPr>
              <w:t>+23.1%</w:t>
            </w:r>
          </w:p>
        </w:tc>
        <w:tc>
          <w:tcPr>
            <w:tcW w:type="dxa" w:w="1255"/>
          </w:tcPr>
          <w:p>
            <w:pPr>
              <w:jc w:val="center"/>
            </w:pPr>
            <w:r>
              <w:rPr>
                <w:sz w:val="18"/>
              </w:rPr>
              <w:t>0.82</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$8.4M</w:t>
            </w:r>
          </w:p>
        </w:tc>
        <w:tc>
          <w:tcPr>
            <w:tcW w:type="dxa" w:w="1255"/>
          </w:tcPr>
          <w:p>
            <w:pPr>
              <w:jc w:val="center"/>
            </w:pPr>
            <w:r>
              <w:rPr>
                <w:b/>
                <w:sz w:val="18"/>
              </w:rPr>
              <w:t>+30.5%</w:t>
            </w:r>
          </w:p>
        </w:tc>
        <w:tc>
          <w:tcPr>
            <w:tcW w:type="dxa" w:w="1255"/>
          </w:tcPr>
          <w:p>
            <w:pPr>
              <w:jc w:val="center"/>
            </w:pPr>
            <w:r>
              <w:rPr>
                <w:b/>
                <w:sz w:val="18"/>
              </w:rPr>
              <w:t>0.85</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$1.1M</w:t>
            </w:r>
          </w:p>
        </w:tc>
        <w:tc>
          <w:tcPr>
            <w:tcW w:type="dxa" w:w="1255"/>
          </w:tcPr>
          <w:p>
            <w:pPr>
              <w:jc w:val="center"/>
            </w:pPr>
            <w:r>
              <w:rPr>
                <w:sz w:val="18"/>
              </w:rPr>
              <w:t>+15.5%</w:t>
            </w:r>
          </w:p>
        </w:tc>
        <w:tc>
          <w:tcPr>
            <w:tcW w:type="dxa" w:w="1255"/>
          </w:tcPr>
          <w:p>
            <w:pPr>
              <w:jc w:val="center"/>
            </w:pPr>
            <w:r>
              <w:rPr>
                <w:sz w:val="18"/>
              </w:rPr>
              <w:t>0.55</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preserved 88% of buy-and-hold's terminal value while cutting the maximum drawdown by 35 percentage points over this test period. It was the best risk-adjusted performer in the analysis -- though, as noted above, nearby parameter combinations produced similar results.</w:t>
      </w:r>
    </w:p>
    <w:p>
      <w:pPr>
        <w:jc w:val="center"/>
      </w:pPr>
      <w:r>
        <w:drawing>
          <wp:inline xmlns:a="http://schemas.openxmlformats.org/drawingml/2006/main" xmlns:pic="http://schemas.openxmlformats.org/drawingml/2006/picture">
            <wp:extent cx="5486400" cy="3829079"/>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29079"/>
                    </a:xfrm>
                    <a:prstGeom prst="rect"/>
                  </pic:spPr>
                </pic:pic>
              </a:graphicData>
            </a:graphic>
          </wp:inline>
        </w:drawing>
      </w:r>
    </w:p>
    <w:p/>
    <w:p>
      <w:r>
        <w:t>HFEA is a respectable second on Sharpe (0.82)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These parameters were selected because they produced the best risk-adjusted results on 2009-2026 data -- a period dominated by a secular bull market with sharp but temporary drawdowns. The strategy's historical outperformance is real, but whether it will persist in future regimes (prolonged stagflation, a multi-year bear market, or a fundamentally different rate environment) is unknowable. Here's how I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0.85 Sharpe sits at the peak of a broad green plateau. Adjacent cells DD20-25%/Cool20-40 all produce Sharpe ratios above 0.74. You can shift the threshold by 5 percentage points or the cooling period by 10 days in either direction and still get strong risk-adjusted performance. This is not a fragile optimum -- it's a broad plateau of strong performance within this test period.</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29.5% CAGR, 0.74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confidence -- I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+29.5%</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0.74</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price data (dividends excluded, consistent with the rest of this analysis) going back to 1993, with a 0.89% expense ratio drag. This isn't a perfect proxy (it ignores swap costs, dividend effects,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20.9% CAGR vs 20.6% CAGR, with a 0.61 Sharpe vs 0.57.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-0.08</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-0.27</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$49.1M</w:t>
            </w:r>
          </w:p>
        </w:tc>
        <w:tc>
          <w:tcPr>
            <w:tcW w:type="dxa" w:w="1464"/>
          </w:tcPr>
          <w:p>
            <w:pPr>
              <w:jc w:val="center"/>
            </w:pPr>
            <w:r>
              <w:rPr>
                <w:sz w:val="18"/>
              </w:rPr>
              <w:t>+20.6%</w:t>
            </w:r>
          </w:p>
        </w:tc>
        <w:tc>
          <w:tcPr>
            <w:tcW w:type="dxa" w:w="1464"/>
          </w:tcPr>
          <w:p>
            <w:pPr>
              <w:jc w:val="center"/>
            </w:pPr>
            <w:r>
              <w:rPr>
                <w:sz w:val="18"/>
              </w:rPr>
              <w:t>0.57</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$53.4M</w:t>
            </w:r>
          </w:p>
        </w:tc>
        <w:tc>
          <w:tcPr>
            <w:tcW w:type="dxa" w:w="1464"/>
          </w:tcPr>
          <w:p>
            <w:pPr>
              <w:jc w:val="center"/>
            </w:pPr>
            <w:r>
              <w:rPr>
                <w:sz w:val="18"/>
              </w:rPr>
              <w:t>+20.9%</w:t>
            </w:r>
          </w:p>
        </w:tc>
        <w:tc>
          <w:tcPr>
            <w:tcW w:type="dxa" w:w="1464"/>
          </w:tcPr>
          <w:p>
            <w:pPr>
              <w:jc w:val="center"/>
            </w:pPr>
            <w:r>
              <w:rPr>
                <w:sz w:val="18"/>
              </w:rPr>
              <w:t>0.61</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$8.4M</w:t>
            </w:r>
          </w:p>
        </w:tc>
        <w:tc>
          <w:tcPr>
            <w:tcW w:type="dxa" w:w="1757"/>
          </w:tcPr>
          <w:p>
            <w:pPr>
              <w:jc w:val="center"/>
            </w:pPr>
            <w:r>
              <w:rPr>
                <w:sz w:val="18"/>
              </w:rPr>
              <w:t>+30.5%</w:t>
            </w:r>
          </w:p>
        </w:tc>
        <w:tc>
          <w:tcPr>
            <w:tcW w:type="dxa" w:w="1757"/>
          </w:tcPr>
          <w:p>
            <w:pPr>
              <w:jc w:val="center"/>
            </w:pPr>
            <w:r>
              <w:rPr>
                <w:sz w:val="18"/>
              </w:rPr>
              <w:t>0.85</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$4.3M</w:t>
            </w:r>
          </w:p>
        </w:tc>
        <w:tc>
          <w:tcPr>
            <w:tcW w:type="dxa" w:w="1757"/>
          </w:tcPr>
          <w:p>
            <w:pPr>
              <w:jc w:val="center"/>
            </w:pPr>
            <w:r>
              <w:rPr>
                <w:sz w:val="18"/>
              </w:rPr>
              <w:t>+25.3%</w:t>
            </w:r>
          </w:p>
        </w:tc>
        <w:tc>
          <w:tcPr>
            <w:tcW w:type="dxa" w:w="1757"/>
          </w:tcPr>
          <w:p>
            <w:pPr>
              <w:jc w:val="center"/>
            </w:pPr>
            <w:r>
              <w:rPr>
                <w:sz w:val="18"/>
              </w:rPr>
              <w:t>0.76</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$2.1M</w:t>
            </w:r>
          </w:p>
        </w:tc>
        <w:tc>
          <w:tcPr>
            <w:tcW w:type="dxa" w:w="1757"/>
          </w:tcPr>
          <w:p>
            <w:pPr>
              <w:jc w:val="center"/>
            </w:pPr>
            <w:r>
              <w:rPr>
                <w:sz w:val="18"/>
              </w:rPr>
              <w:t>+20.2%</w:t>
            </w:r>
          </w:p>
        </w:tc>
        <w:tc>
          <w:tcPr>
            <w:tcW w:type="dxa" w:w="1757"/>
          </w:tcPr>
          <w:p>
            <w:pPr>
              <w:jc w:val="center"/>
            </w:pPr>
            <w:r>
              <w:rPr>
                <w:sz w:val="18"/>
              </w:rPr>
              <w:t>0.65</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$1.5M</w:t>
            </w:r>
          </w:p>
        </w:tc>
        <w:tc>
          <w:tcPr>
            <w:tcW w:type="dxa" w:w="1757"/>
          </w:tcPr>
          <w:p>
            <w:pPr>
              <w:jc w:val="center"/>
            </w:pPr>
            <w:r>
              <w:rPr>
                <w:sz w:val="18"/>
              </w:rPr>
              <w:t>+17.7%</w:t>
            </w:r>
          </w:p>
        </w:tc>
        <w:tc>
          <w:tcPr>
            <w:tcW w:type="dxa" w:w="1757"/>
          </w:tcPr>
          <w:p>
            <w:pPr>
              <w:jc w:val="center"/>
            </w:pPr>
            <w:r>
              <w:rPr>
                <w:sz w:val="18"/>
              </w:rPr>
              <w:t>0.60</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2"/>
      </w:pPr>
      <w:r>
        <w:t>What About SMA as the Primary Signal?</w:t>
      </w:r>
    </w:p>
    <w:p>
      <w:r>
        <w:t xml:space="preserve">The SMA gate test above uses the moving average only as a re-entry filter on top of the drawdown exit. A fair question is whether a pure SMA crossover -- hold UPRO when SPY is above its moving average, sell when it crosses below -- would work better as the </w:t>
      </w:r>
      <w:r>
        <w:rPr>
          <w:i/>
        </w:rPr>
        <w:t>primary</w:t>
      </w:r>
      <w:r>
        <w:t xml:space="preserve"> timing rule, eliminating the drawdown exit entirely.</w:t>
      </w:r>
    </w:p>
    <w:p>
      <w:r>
        <w:t>This is a well-known trend-following approach. SPY's 200-day moving average is one of the most widely tracked technical indicators in finance. I also tested a buffered variant: exit when SPY falls 2% below the SMA200 (providing a buffer to reduce whipsaws), and re-enter when it crosses back above.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DD25%/Cool40</w:t>
            </w:r>
          </w:p>
        </w:tc>
        <w:tc>
          <w:tcPr>
            <w:tcW w:type="dxa" w:w="1255"/>
          </w:tcPr>
          <w:p>
            <w:pPr>
              <w:jc w:val="center"/>
            </w:pPr>
            <w:r>
              <w:rPr>
                <w:b/>
                <w:sz w:val="18"/>
              </w:rPr>
              <w:t>$8.4M</w:t>
            </w:r>
          </w:p>
        </w:tc>
        <w:tc>
          <w:tcPr>
            <w:tcW w:type="dxa" w:w="1255"/>
          </w:tcPr>
          <w:p>
            <w:pPr>
              <w:jc w:val="center"/>
            </w:pPr>
            <w:r>
              <w:rPr>
                <w:b/>
                <w:sz w:val="18"/>
              </w:rPr>
              <w:t>+30.5%</w:t>
            </w:r>
          </w:p>
        </w:tc>
        <w:tc>
          <w:tcPr>
            <w:tcW w:type="dxa" w:w="1255"/>
          </w:tcPr>
          <w:p>
            <w:pPr>
              <w:jc w:val="center"/>
            </w:pPr>
            <w:r>
              <w:rPr>
                <w:b/>
                <w:sz w:val="18"/>
              </w:rPr>
              <w:t>0.85</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SMA200</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0.56</w:t>
            </w:r>
          </w:p>
        </w:tc>
        <w:tc>
          <w:tcPr>
            <w:tcW w:type="dxa" w:w="1255"/>
          </w:tcPr>
          <w:p>
            <w:pPr>
              <w:jc w:val="center"/>
            </w:pPr>
            <w:r>
              <w:rPr>
                <w:sz w:val="18"/>
              </w:rPr>
              <w:t>-57.9%</w:t>
            </w:r>
          </w:p>
        </w:tc>
        <w:tc>
          <w:tcPr>
            <w:tcW w:type="dxa" w:w="1255"/>
          </w:tcPr>
          <w:p>
            <w:pPr>
              <w:jc w:val="center"/>
            </w:pPr>
            <w:r>
              <w:rPr>
                <w:sz w:val="18"/>
              </w:rPr>
              <w:t>89</w:t>
            </w:r>
          </w:p>
        </w:tc>
        <w:tc>
          <w:tcPr>
            <w:tcW w:type="dxa" w:w="1255"/>
          </w:tcPr>
          <w:p>
            <w:pPr>
              <w:jc w:val="center"/>
            </w:pPr>
            <w:r>
              <w:rPr>
                <w:sz w:val="18"/>
              </w:rPr>
              <w:t>80%</w:t>
            </w:r>
          </w:p>
        </w:tc>
      </w:tr>
      <w:tr>
        <w:tc>
          <w:tcPr>
            <w:tcW w:type="dxa" w:w="1255"/>
          </w:tcPr>
          <w:p>
            <w:pPr>
              <w:jc w:val="left"/>
            </w:pPr>
            <w:r>
              <w:rPr>
                <w:sz w:val="18"/>
              </w:rPr>
              <w:t>SMA100</w:t>
            </w:r>
          </w:p>
        </w:tc>
        <w:tc>
          <w:tcPr>
            <w:tcW w:type="dxa" w:w="1255"/>
          </w:tcPr>
          <w:p>
            <w:pPr>
              <w:jc w:val="center"/>
            </w:pPr>
            <w:r>
              <w:rPr>
                <w:sz w:val="18"/>
              </w:rPr>
              <w:t>$2.6M</w:t>
            </w:r>
          </w:p>
        </w:tc>
        <w:tc>
          <w:tcPr>
            <w:tcW w:type="dxa" w:w="1255"/>
          </w:tcPr>
          <w:p>
            <w:pPr>
              <w:jc w:val="center"/>
            </w:pPr>
            <w:r>
              <w:rPr>
                <w:sz w:val="18"/>
              </w:rPr>
              <w:t>+21.5%</w:t>
            </w:r>
          </w:p>
        </w:tc>
        <w:tc>
          <w:tcPr>
            <w:tcW w:type="dxa" w:w="1255"/>
          </w:tcPr>
          <w:p>
            <w:pPr>
              <w:jc w:val="center"/>
            </w:pPr>
            <w:r>
              <w:rPr>
                <w:sz w:val="18"/>
              </w:rPr>
              <w:t>0.72</w:t>
            </w:r>
          </w:p>
        </w:tc>
        <w:tc>
          <w:tcPr>
            <w:tcW w:type="dxa" w:w="1255"/>
          </w:tcPr>
          <w:p>
            <w:pPr>
              <w:jc w:val="center"/>
            </w:pPr>
            <w:r>
              <w:rPr>
                <w:sz w:val="18"/>
              </w:rPr>
              <w:t>-46.0%</w:t>
            </w:r>
          </w:p>
        </w:tc>
        <w:tc>
          <w:tcPr>
            <w:tcW w:type="dxa" w:w="1255"/>
          </w:tcPr>
          <w:p>
            <w:pPr>
              <w:jc w:val="center"/>
            </w:pPr>
            <w:r>
              <w:rPr>
                <w:sz w:val="18"/>
              </w:rPr>
              <w:t>170</w:t>
            </w:r>
          </w:p>
        </w:tc>
        <w:tc>
          <w:tcPr>
            <w:tcW w:type="dxa" w:w="1255"/>
          </w:tcPr>
          <w:p>
            <w:pPr>
              <w:jc w:val="center"/>
            </w:pPr>
            <w:r>
              <w:rPr>
                <w:sz w:val="18"/>
              </w:rPr>
              <w:t>78%</w:t>
            </w:r>
          </w:p>
        </w:tc>
      </w:tr>
      <w:tr>
        <w:tc>
          <w:tcPr>
            <w:tcW w:type="dxa" w:w="1255"/>
          </w:tcPr>
          <w:p>
            <w:pPr>
              <w:jc w:val="left"/>
            </w:pPr>
            <w:r>
              <w:rPr>
                <w:sz w:val="18"/>
              </w:rPr>
              <w:t>SMA50</w:t>
            </w:r>
          </w:p>
        </w:tc>
        <w:tc>
          <w:tcPr>
            <w:tcW w:type="dxa" w:w="1255"/>
          </w:tcPr>
          <w:p>
            <w:pPr>
              <w:jc w:val="center"/>
            </w:pPr>
            <w:r>
              <w:rPr>
                <w:sz w:val="18"/>
              </w:rPr>
              <w:t>$737K</w:t>
            </w:r>
          </w:p>
        </w:tc>
        <w:tc>
          <w:tcPr>
            <w:tcW w:type="dxa" w:w="1255"/>
          </w:tcPr>
          <w:p>
            <w:pPr>
              <w:jc w:val="center"/>
            </w:pPr>
            <w:r>
              <w:rPr>
                <w:sz w:val="18"/>
              </w:rPr>
              <w:t>+12.7%</w:t>
            </w:r>
          </w:p>
        </w:tc>
        <w:tc>
          <w:tcPr>
            <w:tcW w:type="dxa" w:w="1255"/>
          </w:tcPr>
          <w:p>
            <w:pPr>
              <w:jc w:val="center"/>
            </w:pPr>
            <w:r>
              <w:rPr>
                <w:sz w:val="18"/>
              </w:rPr>
              <w:t>0.50</w:t>
            </w:r>
          </w:p>
        </w:tc>
        <w:tc>
          <w:tcPr>
            <w:tcW w:type="dxa" w:w="1255"/>
          </w:tcPr>
          <w:p>
            <w:pPr>
              <w:jc w:val="center"/>
            </w:pPr>
            <w:r>
              <w:rPr>
                <w:sz w:val="18"/>
              </w:rPr>
              <w:t>-52.3%</w:t>
            </w:r>
          </w:p>
        </w:tc>
        <w:tc>
          <w:tcPr>
            <w:tcW w:type="dxa" w:w="1255"/>
          </w:tcPr>
          <w:p>
            <w:pPr>
              <w:jc w:val="center"/>
            </w:pPr>
            <w:r>
              <w:rPr>
                <w:sz w:val="18"/>
              </w:rPr>
              <w:t>282</w:t>
            </w:r>
          </w:p>
        </w:tc>
        <w:tc>
          <w:tcPr>
            <w:tcW w:type="dxa" w:w="1255"/>
          </w:tcPr>
          <w:p>
            <w:pPr>
              <w:jc w:val="center"/>
            </w:pPr>
            <w:r>
              <w:rPr>
                <w:sz w:val="18"/>
              </w:rPr>
              <w:t>72%</w:t>
            </w:r>
          </w:p>
        </w:tc>
      </w:tr>
      <w:tr>
        <w:tc>
          <w:tcPr>
            <w:tcW w:type="dxa" w:w="1255"/>
          </w:tcPr>
          <w:p>
            <w:pPr>
              <w:jc w:val="left"/>
            </w:pPr>
            <w:r>
              <w:rPr>
                <w:sz w:val="18"/>
              </w:rPr>
              <w:t>SMA200/2%buf</w:t>
            </w:r>
          </w:p>
        </w:tc>
        <w:tc>
          <w:tcPr>
            <w:tcW w:type="dxa" w:w="1255"/>
          </w:tcPr>
          <w:p>
            <w:pPr>
              <w:jc w:val="center"/>
            </w:pPr>
            <w:r>
              <w:rPr>
                <w:sz w:val="18"/>
              </w:rPr>
              <w:t>$784K</w:t>
            </w:r>
          </w:p>
        </w:tc>
        <w:tc>
          <w:tcPr>
            <w:tcW w:type="dxa" w:w="1255"/>
          </w:tcPr>
          <w:p>
            <w:pPr>
              <w:jc w:val="center"/>
            </w:pPr>
            <w:r>
              <w:rPr>
                <w:sz w:val="18"/>
              </w:rPr>
              <w:t>+13.2%</w:t>
            </w:r>
          </w:p>
        </w:tc>
        <w:tc>
          <w:tcPr>
            <w:tcW w:type="dxa" w:w="1255"/>
          </w:tcPr>
          <w:p>
            <w:pPr>
              <w:jc w:val="center"/>
            </w:pPr>
            <w:r>
              <w:rPr>
                <w:sz w:val="18"/>
              </w:rPr>
              <w:t>0.49</w:t>
            </w:r>
          </w:p>
        </w:tc>
        <w:tc>
          <w:tcPr>
            <w:tcW w:type="dxa" w:w="1255"/>
          </w:tcPr>
          <w:p>
            <w:pPr>
              <w:jc w:val="center"/>
            </w:pPr>
            <w:r>
              <w:rPr>
                <w:sz w:val="18"/>
              </w:rPr>
              <w:t>-59.6%</w:t>
            </w:r>
          </w:p>
        </w:tc>
        <w:tc>
          <w:tcPr>
            <w:tcW w:type="dxa" w:w="1255"/>
          </w:tcPr>
          <w:p>
            <w:pPr>
              <w:jc w:val="center"/>
            </w:pPr>
            <w:r>
              <w:rPr>
                <w:sz w:val="18"/>
              </w:rPr>
              <w:t>49</w:t>
            </w:r>
          </w:p>
        </w:tc>
        <w:tc>
          <w:tcPr>
            <w:tcW w:type="dxa" w:w="1255"/>
          </w:tcPr>
          <w:p>
            <w:pPr>
              <w:jc w:val="center"/>
            </w:pPr>
            <w:r>
              <w:rPr>
                <w:sz w:val="18"/>
              </w:rPr>
              <w:t>82%</w:t>
            </w:r>
          </w:p>
        </w:tc>
      </w:tr>
    </w:tbl>
    <w:p/>
    <w:p>
      <w:r>
        <w:t xml:space="preserve">None of the pure SMA filters come close to DD25%/Cool40 on any metric. SMA100 is the best of the group -- a 21.5% CAGR with a 0.72 Sharpe and -46.0% max drawdown -- but it still trails the drawdown exit by 9 percentage points of CAGR with a worse Sharpe. SMA50 whipsaws excessively (282 trades over 16 years) and bleeds returns through false signals. The 2% buffer variant actually makes things </w:t>
      </w:r>
      <w:r>
        <w:rPr>
          <w:i/>
        </w:rPr>
        <w:t>worse</w:t>
      </w:r>
      <w:r>
        <w:t xml:space="preserve"> than the plain SMA200 -- the buffer delays exits during genuine breakdowns, increasing drawdowns without meaningfully reducing whipsaws.</w:t>
      </w:r>
    </w:p>
    <w:p>
      <w:r>
        <w:t>The fundamental problem is that SMA crossovers are trend-following signals, and UPRO's 3x leverage makes trend-following expensive. Every false signal costs you the spread between where you sold and where you rebuy -- and at 3x leverage, those round-trip costs compound quickly. The drawdown exit avoids this problem because it only fires during genuinely large declines (25%+ from peak), resulting in far fewer trades and far less time out of the market.</w:t>
      </w:r>
    </w:p>
    <w:p>
      <w:pPr>
        <w:jc w:val="center"/>
      </w:pPr>
      <w:r>
        <w:drawing>
          <wp:inline xmlns:a="http://schemas.openxmlformats.org/drawingml/2006/main" xmlns:pic="http://schemas.openxmlformats.org/drawingml/2006/picture">
            <wp:extent cx="5486400" cy="3267431"/>
            <wp:docPr id="9" name="Picture 9"/>
            <wp:cNvGraphicFramePr>
              <a:graphicFrameLocks noChangeAspect="1"/>
            </wp:cNvGraphicFramePr>
            <a:graphic>
              <a:graphicData uri="http://schemas.openxmlformats.org/drawingml/2006/picture">
                <pic:pic>
                  <pic:nvPicPr>
                    <pic:cNvPr id="0" name="13_sma_filter.png"/>
                    <pic:cNvPicPr/>
                  </pic:nvPicPr>
                  <pic:blipFill>
                    <a:blip r:embed="rId17"/>
                    <a:stretch>
                      <a:fillRect/>
                    </a:stretch>
                  </pic:blipFill>
                  <pic:spPr>
                    <a:xfrm>
                      <a:off x="0" y="0"/>
                      <a:ext cx="5486400" cy="3267431"/>
                    </a:xfrm>
                    <a:prstGeom prst="rect"/>
                  </pic:spPr>
                </pic:pic>
              </a:graphicData>
            </a:graphic>
          </wp:inline>
        </w:drawing>
      </w:r>
    </w:p>
    <w:p/>
    <w:p>
      <w:r>
        <w:t>The bottom line: whether used as a re-entry gate or as the primary signal, moving average crossovers underperform the simple drawdown exit for UPRO timing. The drawdown exit's advantage is that it responds to UPRO's actual price behavior rather than trying to infer trend direction from SPY.</w:t>
      </w:r>
    </w:p>
    <w:p>
      <w:pPr>
        <w:pStyle w:val="Heading2"/>
      </w:pPr>
      <w:r>
        <w:t>Why 25% May Not Be Arbitrary</w:t>
      </w:r>
    </w:p>
    <w:p>
      <w:r>
        <w:t>One potential concern is that 25% is simply a round number that happened to work on this dataset. But there's a structural reason it may be well-calibrated for a 3x instrument.</w:t>
      </w:r>
    </w:p>
    <w:p>
      <w:r>
        <w:t>Because UPRO magnifies SPY's moves by roughly 3x, a 25% UPRO drawdown typically corresponds to a high-single-digit or low-double-digit decline in SPY. To test this directly, I examined the SPY drawdown and VIX level on each of the 15 exit signal dates: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Exit Date</w:t>
            </w:r>
          </w:p>
        </w:tc>
        <w:tc>
          <w:tcPr>
            <w:tcW w:type="dxa" w:w="2196"/>
          </w:tcPr>
          <w:p>
            <w:pPr>
              <w:jc w:val="center"/>
            </w:pPr>
            <w:r>
              <w:rPr>
                <w:b/>
                <w:sz w:val="18"/>
              </w:rPr>
              <w:t>UPRO DD</w:t>
            </w:r>
          </w:p>
        </w:tc>
        <w:tc>
          <w:tcPr>
            <w:tcW w:type="dxa" w:w="2196"/>
          </w:tcPr>
          <w:p>
            <w:pPr>
              <w:jc w:val="center"/>
            </w:pPr>
            <w:r>
              <w:rPr>
                <w:b/>
                <w:sz w:val="18"/>
              </w:rPr>
              <w:t>SPY DD</w:t>
            </w:r>
          </w:p>
        </w:tc>
        <w:tc>
          <w:tcPr>
            <w:tcW w:type="dxa" w:w="2196"/>
          </w:tcPr>
          <w:p>
            <w:pPr>
              <w:jc w:val="center"/>
            </w:pPr>
            <w:r>
              <w:rPr>
                <w:b/>
                <w:sz w:val="18"/>
              </w:rPr>
              <w:t>VIX</w:t>
            </w:r>
          </w:p>
        </w:tc>
      </w:tr>
      <w:tr>
        <w:tc>
          <w:tcPr>
            <w:tcW w:type="dxa" w:w="2196"/>
          </w:tcPr>
          <w:p>
            <w:pPr>
              <w:jc w:val="left"/>
            </w:pPr>
            <w:r>
              <w:rPr>
                <w:sz w:val="18"/>
              </w:rPr>
              <w:t>May 2010</w:t>
            </w:r>
          </w:p>
        </w:tc>
        <w:tc>
          <w:tcPr>
            <w:tcW w:type="dxa" w:w="2196"/>
          </w:tcPr>
          <w:p>
            <w:pPr>
              <w:jc w:val="center"/>
            </w:pPr>
            <w:r>
              <w:rPr>
                <w:sz w:val="18"/>
              </w:rPr>
              <w:t>-32.9%</w:t>
            </w:r>
          </w:p>
        </w:tc>
        <w:tc>
          <w:tcPr>
            <w:tcW w:type="dxa" w:w="2196"/>
          </w:tcPr>
          <w:p>
            <w:pPr>
              <w:jc w:val="center"/>
            </w:pPr>
            <w:r>
              <w:rPr>
                <w:sz w:val="18"/>
              </w:rPr>
              <w:t>-11.7%</w:t>
            </w:r>
          </w:p>
        </w:tc>
        <w:tc>
          <w:tcPr>
            <w:tcW w:type="dxa" w:w="2196"/>
          </w:tcPr>
          <w:p>
            <w:pPr>
              <w:jc w:val="center"/>
            </w:pPr>
            <w:r>
              <w:rPr>
                <w:sz w:val="18"/>
              </w:rPr>
              <w:t>45.8</w:t>
            </w:r>
          </w:p>
        </w:tc>
      </w:tr>
      <w:tr>
        <w:tc>
          <w:tcPr>
            <w:tcW w:type="dxa" w:w="2196"/>
          </w:tcPr>
          <w:p>
            <w:pPr>
              <w:jc w:val="left"/>
            </w:pPr>
            <w:r>
              <w:rPr>
                <w:sz w:val="18"/>
              </w:rPr>
              <w:t>Aug 2011</w:t>
            </w:r>
          </w:p>
        </w:tc>
        <w:tc>
          <w:tcPr>
            <w:tcW w:type="dxa" w:w="2196"/>
          </w:tcPr>
          <w:p>
            <w:pPr>
              <w:jc w:val="center"/>
            </w:pPr>
            <w:r>
              <w:rPr>
                <w:sz w:val="18"/>
              </w:rPr>
              <w:t>-32.7%</w:t>
            </w:r>
          </w:p>
        </w:tc>
        <w:tc>
          <w:tcPr>
            <w:tcW w:type="dxa" w:w="2196"/>
          </w:tcPr>
          <w:p>
            <w:pPr>
              <w:jc w:val="center"/>
            </w:pPr>
            <w:r>
              <w:rPr>
                <w:sz w:val="18"/>
              </w:rPr>
              <w:t>-11.4%</w:t>
            </w:r>
          </w:p>
        </w:tc>
        <w:tc>
          <w:tcPr>
            <w:tcW w:type="dxa" w:w="2196"/>
          </w:tcPr>
          <w:p>
            <w:pPr>
              <w:jc w:val="center"/>
            </w:pPr>
            <w:r>
              <w:rPr>
                <w:sz w:val="18"/>
              </w:rPr>
              <w:t>31.7</w:t>
            </w:r>
          </w:p>
        </w:tc>
      </w:tr>
      <w:tr>
        <w:tc>
          <w:tcPr>
            <w:tcW w:type="dxa" w:w="2196"/>
          </w:tcPr>
          <w:p>
            <w:pPr>
              <w:jc w:val="left"/>
            </w:pPr>
            <w:r>
              <w:rPr>
                <w:sz w:val="18"/>
              </w:rPr>
              <w:t>Nov 2011</w:t>
            </w:r>
          </w:p>
        </w:tc>
        <w:tc>
          <w:tcPr>
            <w:tcW w:type="dxa" w:w="2196"/>
          </w:tcPr>
          <w:p>
            <w:pPr>
              <w:jc w:val="center"/>
            </w:pPr>
            <w:r>
              <w:rPr>
                <w:sz w:val="18"/>
              </w:rPr>
              <w:t>-27.0%</w:t>
            </w:r>
          </w:p>
        </w:tc>
        <w:tc>
          <w:tcPr>
            <w:tcW w:type="dxa" w:w="2196"/>
          </w:tcPr>
          <w:p>
            <w:pPr>
              <w:jc w:val="center"/>
            </w:pPr>
            <w:r>
              <w:rPr>
                <w:sz w:val="18"/>
              </w:rPr>
              <w:t>-13.7%</w:t>
            </w:r>
          </w:p>
        </w:tc>
        <w:tc>
          <w:tcPr>
            <w:tcW w:type="dxa" w:w="2196"/>
          </w:tcPr>
          <w:p>
            <w:pPr>
              <w:jc w:val="center"/>
            </w:pPr>
            <w:r>
              <w:rPr>
                <w:sz w:val="18"/>
              </w:rPr>
              <w:t>34.0</w:t>
            </w:r>
          </w:p>
        </w:tc>
      </w:tr>
      <w:tr>
        <w:tc>
          <w:tcPr>
            <w:tcW w:type="dxa" w:w="2196"/>
          </w:tcPr>
          <w:p>
            <w:pPr>
              <w:jc w:val="left"/>
            </w:pPr>
            <w:r>
              <w:rPr>
                <w:sz w:val="18"/>
              </w:rPr>
              <w:t>Jun 2012</w:t>
            </w:r>
          </w:p>
        </w:tc>
        <w:tc>
          <w:tcPr>
            <w:tcW w:type="dxa" w:w="2196"/>
          </w:tcPr>
          <w:p>
            <w:pPr>
              <w:jc w:val="center"/>
            </w:pPr>
            <w:r>
              <w:rPr>
                <w:sz w:val="18"/>
              </w:rPr>
              <w:t>-27.2%</w:t>
            </w:r>
          </w:p>
        </w:tc>
        <w:tc>
          <w:tcPr>
            <w:tcW w:type="dxa" w:w="2196"/>
          </w:tcPr>
          <w:p>
            <w:pPr>
              <w:jc w:val="center"/>
            </w:pPr>
            <w:r>
              <w:rPr>
                <w:sz w:val="18"/>
              </w:rPr>
              <w:t>-9.6%</w:t>
            </w:r>
          </w:p>
        </w:tc>
        <w:tc>
          <w:tcPr>
            <w:tcW w:type="dxa" w:w="2196"/>
          </w:tcPr>
          <w:p>
            <w:pPr>
              <w:jc w:val="center"/>
            </w:pPr>
            <w:r>
              <w:rPr>
                <w:sz w:val="18"/>
              </w:rPr>
              <w:t>26.7</w:t>
            </w:r>
          </w:p>
        </w:tc>
      </w:tr>
      <w:tr>
        <w:tc>
          <w:tcPr>
            <w:tcW w:type="dxa" w:w="2196"/>
          </w:tcPr>
          <w:p>
            <w:pPr>
              <w:jc w:val="left"/>
            </w:pPr>
            <w:r>
              <w:rPr>
                <w:sz w:val="18"/>
              </w:rPr>
              <w:t>Aug 2015</w:t>
            </w:r>
          </w:p>
        </w:tc>
        <w:tc>
          <w:tcPr>
            <w:tcW w:type="dxa" w:w="2196"/>
          </w:tcPr>
          <w:p>
            <w:pPr>
              <w:jc w:val="center"/>
            </w:pPr>
            <w:r>
              <w:rPr>
                <w:sz w:val="18"/>
              </w:rPr>
              <w:t>-30.1%</w:t>
            </w:r>
          </w:p>
        </w:tc>
        <w:tc>
          <w:tcPr>
            <w:tcW w:type="dxa" w:w="2196"/>
          </w:tcPr>
          <w:p>
            <w:pPr>
              <w:jc w:val="center"/>
            </w:pPr>
            <w:r>
              <w:rPr>
                <w:sz w:val="18"/>
              </w:rPr>
              <w:t>-10.9%</w:t>
            </w:r>
          </w:p>
        </w:tc>
        <w:tc>
          <w:tcPr>
            <w:tcW w:type="dxa" w:w="2196"/>
          </w:tcPr>
          <w:p>
            <w:pPr>
              <w:jc w:val="center"/>
            </w:pPr>
            <w:r>
              <w:rPr>
                <w:sz w:val="18"/>
              </w:rPr>
              <w:t>40.7</w:t>
            </w:r>
          </w:p>
        </w:tc>
      </w:tr>
      <w:tr>
        <w:tc>
          <w:tcPr>
            <w:tcW w:type="dxa" w:w="2196"/>
          </w:tcPr>
          <w:p>
            <w:pPr>
              <w:jc w:val="left"/>
            </w:pPr>
            <w:r>
              <w:rPr>
                <w:sz w:val="18"/>
              </w:rPr>
              <w:t>Jan 2016</w:t>
            </w:r>
          </w:p>
        </w:tc>
        <w:tc>
          <w:tcPr>
            <w:tcW w:type="dxa" w:w="2196"/>
          </w:tcPr>
          <w:p>
            <w:pPr>
              <w:jc w:val="center"/>
            </w:pPr>
            <w:r>
              <w:rPr>
                <w:sz w:val="18"/>
              </w:rPr>
              <w:t>-28.5%</w:t>
            </w:r>
          </w:p>
        </w:tc>
        <w:tc>
          <w:tcPr>
            <w:tcW w:type="dxa" w:w="2196"/>
          </w:tcPr>
          <w:p>
            <w:pPr>
              <w:jc w:val="center"/>
            </w:pPr>
            <w:r>
              <w:rPr>
                <w:sz w:val="18"/>
              </w:rPr>
              <w:t>-10.2%</w:t>
            </w:r>
          </w:p>
        </w:tc>
        <w:tc>
          <w:tcPr>
            <w:tcW w:type="dxa" w:w="2196"/>
          </w:tcPr>
          <w:p>
            <w:pPr>
              <w:jc w:val="center"/>
            </w:pPr>
            <w:r>
              <w:rPr>
                <w:sz w:val="18"/>
              </w:rPr>
              <w:t>25.2</w:t>
            </w:r>
          </w:p>
        </w:tc>
      </w:tr>
      <w:tr>
        <w:tc>
          <w:tcPr>
            <w:tcW w:type="dxa" w:w="2196"/>
          </w:tcPr>
          <w:p>
            <w:pPr>
              <w:jc w:val="left"/>
            </w:pPr>
            <w:r>
              <w:rPr>
                <w:sz w:val="18"/>
              </w:rPr>
              <w:t>Feb 2018</w:t>
            </w:r>
          </w:p>
        </w:tc>
        <w:tc>
          <w:tcPr>
            <w:tcW w:type="dxa" w:w="2196"/>
          </w:tcPr>
          <w:p>
            <w:pPr>
              <w:jc w:val="center"/>
            </w:pPr>
            <w:r>
              <w:rPr>
                <w:sz w:val="18"/>
              </w:rPr>
              <w:t>-28.3%</w:t>
            </w:r>
          </w:p>
        </w:tc>
        <w:tc>
          <w:tcPr>
            <w:tcW w:type="dxa" w:w="2196"/>
          </w:tcPr>
          <w:p>
            <w:pPr>
              <w:jc w:val="center"/>
            </w:pPr>
            <w:r>
              <w:rPr>
                <w:sz w:val="18"/>
              </w:rPr>
              <w:t>-10.1%</w:t>
            </w:r>
          </w:p>
        </w:tc>
        <w:tc>
          <w:tcPr>
            <w:tcW w:type="dxa" w:w="2196"/>
          </w:tcPr>
          <w:p>
            <w:pPr>
              <w:jc w:val="center"/>
            </w:pPr>
            <w:r>
              <w:rPr>
                <w:sz w:val="18"/>
              </w:rPr>
              <w:t>33.5</w:t>
            </w:r>
          </w:p>
        </w:tc>
      </w:tr>
      <w:tr>
        <w:tc>
          <w:tcPr>
            <w:tcW w:type="dxa" w:w="2196"/>
          </w:tcPr>
          <w:p>
            <w:pPr>
              <w:jc w:val="left"/>
            </w:pPr>
            <w:r>
              <w:rPr>
                <w:sz w:val="18"/>
              </w:rPr>
              <w:t>Oct 2018</w:t>
            </w:r>
          </w:p>
        </w:tc>
        <w:tc>
          <w:tcPr>
            <w:tcW w:type="dxa" w:w="2196"/>
          </w:tcPr>
          <w:p>
            <w:pPr>
              <w:jc w:val="center"/>
            </w:pPr>
            <w:r>
              <w:rPr>
                <w:sz w:val="18"/>
              </w:rPr>
              <w:t>-26.5%</w:t>
            </w:r>
          </w:p>
        </w:tc>
        <w:tc>
          <w:tcPr>
            <w:tcW w:type="dxa" w:w="2196"/>
          </w:tcPr>
          <w:p>
            <w:pPr>
              <w:jc w:val="center"/>
            </w:pPr>
            <w:r>
              <w:rPr>
                <w:sz w:val="18"/>
              </w:rPr>
              <w:t>-9.2%</w:t>
            </w:r>
          </w:p>
        </w:tc>
        <w:tc>
          <w:tcPr>
            <w:tcW w:type="dxa" w:w="2196"/>
          </w:tcPr>
          <w:p>
            <w:pPr>
              <w:jc w:val="center"/>
            </w:pPr>
            <w:r>
              <w:rPr>
                <w:sz w:val="18"/>
              </w:rPr>
              <w:t>25.2</w:t>
            </w:r>
          </w:p>
        </w:tc>
      </w:tr>
      <w:tr>
        <w:tc>
          <w:tcPr>
            <w:tcW w:type="dxa" w:w="2196"/>
          </w:tcPr>
          <w:p>
            <w:pPr>
              <w:jc w:val="left"/>
            </w:pPr>
            <w:r>
              <w:rPr>
                <w:sz w:val="18"/>
              </w:rPr>
              <w:t>Feb 2020</w:t>
            </w:r>
          </w:p>
        </w:tc>
        <w:tc>
          <w:tcPr>
            <w:tcW w:type="dxa" w:w="2196"/>
          </w:tcPr>
          <w:p>
            <w:pPr>
              <w:jc w:val="center"/>
            </w:pPr>
            <w:r>
              <w:rPr>
                <w:sz w:val="18"/>
              </w:rPr>
              <w:t>-33.1%</w:t>
            </w:r>
          </w:p>
        </w:tc>
        <w:tc>
          <w:tcPr>
            <w:tcW w:type="dxa" w:w="2196"/>
          </w:tcPr>
          <w:p>
            <w:pPr>
              <w:jc w:val="center"/>
            </w:pPr>
            <w:r>
              <w:rPr>
                <w:sz w:val="18"/>
              </w:rPr>
              <w:t>-12.1%</w:t>
            </w:r>
          </w:p>
        </w:tc>
        <w:tc>
          <w:tcPr>
            <w:tcW w:type="dxa" w:w="2196"/>
          </w:tcPr>
          <w:p>
            <w:pPr>
              <w:jc w:val="center"/>
            </w:pPr>
            <w:r>
              <w:rPr>
                <w:sz w:val="18"/>
              </w:rPr>
              <w:t>39.2</w:t>
            </w:r>
          </w:p>
        </w:tc>
      </w:tr>
      <w:tr>
        <w:tc>
          <w:tcPr>
            <w:tcW w:type="dxa" w:w="2196"/>
          </w:tcPr>
          <w:p>
            <w:pPr>
              <w:jc w:val="left"/>
            </w:pPr>
            <w:r>
              <w:rPr>
                <w:sz w:val="18"/>
              </w:rPr>
              <w:t>Sep 2020</w:t>
            </w:r>
          </w:p>
        </w:tc>
        <w:tc>
          <w:tcPr>
            <w:tcW w:type="dxa" w:w="2196"/>
          </w:tcPr>
          <w:p>
            <w:pPr>
              <w:jc w:val="center"/>
            </w:pPr>
            <w:r>
              <w:rPr>
                <w:sz w:val="18"/>
              </w:rPr>
              <w:t>-26.7%</w:t>
            </w:r>
          </w:p>
        </w:tc>
        <w:tc>
          <w:tcPr>
            <w:tcW w:type="dxa" w:w="2196"/>
          </w:tcPr>
          <w:p>
            <w:pPr>
              <w:jc w:val="center"/>
            </w:pPr>
            <w:r>
              <w:rPr>
                <w:sz w:val="18"/>
              </w:rPr>
              <w:t>-9.4%</w:t>
            </w:r>
          </w:p>
        </w:tc>
        <w:tc>
          <w:tcPr>
            <w:tcW w:type="dxa" w:w="2196"/>
          </w:tcPr>
          <w:p>
            <w:pPr>
              <w:jc w:val="center"/>
            </w:pPr>
            <w:r>
              <w:rPr>
                <w:sz w:val="18"/>
              </w:rPr>
              <w:t>28.6</w:t>
            </w:r>
          </w:p>
        </w:tc>
      </w:tr>
      <w:tr>
        <w:tc>
          <w:tcPr>
            <w:tcW w:type="dxa" w:w="2196"/>
          </w:tcPr>
          <w:p>
            <w:pPr>
              <w:jc w:val="left"/>
            </w:pPr>
            <w:r>
              <w:rPr>
                <w:sz w:val="18"/>
              </w:rPr>
              <w:t>Jan 2022</w:t>
            </w:r>
          </w:p>
        </w:tc>
        <w:tc>
          <w:tcPr>
            <w:tcW w:type="dxa" w:w="2196"/>
          </w:tcPr>
          <w:p>
            <w:pPr>
              <w:jc w:val="center"/>
            </w:pPr>
            <w:r>
              <w:rPr>
                <w:sz w:val="18"/>
              </w:rPr>
              <w:t>-25.3%</w:t>
            </w:r>
          </w:p>
        </w:tc>
        <w:tc>
          <w:tcPr>
            <w:tcW w:type="dxa" w:w="2196"/>
          </w:tcPr>
          <w:p>
            <w:pPr>
              <w:jc w:val="center"/>
            </w:pPr>
            <w:r>
              <w:rPr>
                <w:sz w:val="18"/>
              </w:rPr>
              <w:t>-9.1%</w:t>
            </w:r>
          </w:p>
        </w:tc>
        <w:tc>
          <w:tcPr>
            <w:tcW w:type="dxa" w:w="2196"/>
          </w:tcPr>
          <w:p>
            <w:pPr>
              <w:jc w:val="center"/>
            </w:pPr>
            <w:r>
              <w:rPr>
                <w:sz w:val="18"/>
              </w:rPr>
              <w:t>31.2</w:t>
            </w:r>
          </w:p>
        </w:tc>
      </w:tr>
      <w:tr>
        <w:tc>
          <w:tcPr>
            <w:tcW w:type="dxa" w:w="2196"/>
          </w:tcPr>
          <w:p>
            <w:pPr>
              <w:jc w:val="left"/>
            </w:pPr>
            <w:r>
              <w:rPr>
                <w:sz w:val="18"/>
              </w:rPr>
              <w:t>Apr 2022</w:t>
            </w:r>
          </w:p>
        </w:tc>
        <w:tc>
          <w:tcPr>
            <w:tcW w:type="dxa" w:w="2196"/>
          </w:tcPr>
          <w:p>
            <w:pPr>
              <w:jc w:val="center"/>
            </w:pPr>
            <w:r>
              <w:rPr>
                <w:sz w:val="18"/>
              </w:rPr>
              <w:t>-27.6%</w:t>
            </w:r>
          </w:p>
        </w:tc>
        <w:tc>
          <w:tcPr>
            <w:tcW w:type="dxa" w:w="2196"/>
          </w:tcPr>
          <w:p>
            <w:pPr>
              <w:jc w:val="center"/>
            </w:pPr>
            <w:r>
              <w:rPr>
                <w:sz w:val="18"/>
              </w:rPr>
              <w:t>-12.6%</w:t>
            </w:r>
          </w:p>
        </w:tc>
        <w:tc>
          <w:tcPr>
            <w:tcW w:type="dxa" w:w="2196"/>
          </w:tcPr>
          <w:p>
            <w:pPr>
              <w:jc w:val="center"/>
            </w:pPr>
            <w:r>
              <w:rPr>
                <w:sz w:val="18"/>
              </w:rPr>
              <w:t>33.5</w:t>
            </w:r>
          </w:p>
        </w:tc>
      </w:tr>
      <w:tr>
        <w:tc>
          <w:tcPr>
            <w:tcW w:type="dxa" w:w="2196"/>
          </w:tcPr>
          <w:p>
            <w:pPr>
              <w:jc w:val="left"/>
            </w:pPr>
            <w:r>
              <w:rPr>
                <w:sz w:val="18"/>
              </w:rPr>
              <w:t>Sep 2022</w:t>
            </w:r>
          </w:p>
        </w:tc>
        <w:tc>
          <w:tcPr>
            <w:tcW w:type="dxa" w:w="2196"/>
          </w:tcPr>
          <w:p>
            <w:pPr>
              <w:jc w:val="center"/>
            </w:pPr>
            <w:r>
              <w:rPr>
                <w:sz w:val="18"/>
              </w:rPr>
              <w:t>-25.7%</w:t>
            </w:r>
          </w:p>
        </w:tc>
        <w:tc>
          <w:tcPr>
            <w:tcW w:type="dxa" w:w="2196"/>
          </w:tcPr>
          <w:p>
            <w:pPr>
              <w:jc w:val="center"/>
            </w:pPr>
            <w:r>
              <w:rPr>
                <w:sz w:val="18"/>
              </w:rPr>
              <w:t>-17.6%</w:t>
            </w:r>
          </w:p>
        </w:tc>
        <w:tc>
          <w:tcPr>
            <w:tcW w:type="dxa" w:w="2196"/>
          </w:tcPr>
          <w:p>
            <w:pPr>
              <w:jc w:val="center"/>
            </w:pPr>
            <w:r>
              <w:rPr>
                <w:sz w:val="18"/>
              </w:rPr>
              <w:t>26.9</w:t>
            </w:r>
          </w:p>
        </w:tc>
      </w:tr>
      <w:tr>
        <w:tc>
          <w:tcPr>
            <w:tcW w:type="dxa" w:w="2196"/>
          </w:tcPr>
          <w:p>
            <w:pPr>
              <w:jc w:val="left"/>
            </w:pPr>
            <w:r>
              <w:rPr>
                <w:sz w:val="18"/>
              </w:rPr>
              <w:t>Oct 2023</w:t>
            </w:r>
          </w:p>
        </w:tc>
        <w:tc>
          <w:tcPr>
            <w:tcW w:type="dxa" w:w="2196"/>
          </w:tcPr>
          <w:p>
            <w:pPr>
              <w:jc w:val="center"/>
            </w:pPr>
            <w:r>
              <w:rPr>
                <w:sz w:val="18"/>
              </w:rPr>
              <w:t>-26.5%</w:t>
            </w:r>
          </w:p>
        </w:tc>
        <w:tc>
          <w:tcPr>
            <w:tcW w:type="dxa" w:w="2196"/>
          </w:tcPr>
          <w:p>
            <w:pPr>
              <w:jc w:val="center"/>
            </w:pPr>
            <w:r>
              <w:rPr>
                <w:sz w:val="18"/>
              </w:rPr>
              <w:t>-10.2%</w:t>
            </w:r>
          </w:p>
        </w:tc>
        <w:tc>
          <w:tcPr>
            <w:tcW w:type="dxa" w:w="2196"/>
          </w:tcPr>
          <w:p>
            <w:pPr>
              <w:jc w:val="center"/>
            </w:pPr>
            <w:r>
              <w:rPr>
                <w:sz w:val="18"/>
              </w:rPr>
              <w:t>20.2</w:t>
            </w:r>
          </w:p>
        </w:tc>
      </w:tr>
      <w:tr>
        <w:tc>
          <w:tcPr>
            <w:tcW w:type="dxa" w:w="2196"/>
          </w:tcPr>
          <w:p>
            <w:pPr>
              <w:jc w:val="left"/>
            </w:pPr>
            <w:r>
              <w:rPr>
                <w:sz w:val="18"/>
              </w:rPr>
              <w:t>Mar 2025</w:t>
            </w:r>
          </w:p>
        </w:tc>
        <w:tc>
          <w:tcPr>
            <w:tcW w:type="dxa" w:w="2196"/>
          </w:tcPr>
          <w:p>
            <w:pPr>
              <w:jc w:val="center"/>
            </w:pPr>
            <w:r>
              <w:rPr>
                <w:sz w:val="18"/>
              </w:rPr>
              <w:t>-26.4%</w:t>
            </w:r>
          </w:p>
        </w:tc>
        <w:tc>
          <w:tcPr>
            <w:tcW w:type="dxa" w:w="2196"/>
          </w:tcPr>
          <w:p>
            <w:pPr>
              <w:jc w:val="center"/>
            </w:pPr>
            <w:r>
              <w:rPr>
                <w:sz w:val="18"/>
              </w:rPr>
              <w:t>-9.3%</w:t>
            </w:r>
          </w:p>
        </w:tc>
        <w:tc>
          <w:tcPr>
            <w:tcW w:type="dxa" w:w="2196"/>
          </w:tcPr>
          <w:p>
            <w:pPr>
              <w:jc w:val="center"/>
            </w:pPr>
            <w:r>
              <w:rPr>
                <w:sz w:val="18"/>
              </w:rPr>
              <w:t>26.9</w:t>
            </w:r>
          </w:p>
        </w:tc>
      </w:tr>
    </w:tbl>
    <w:p/>
    <w:p>
      <w:r>
        <w:t>The pattern is striking. Across all 15 exits, the median SPY drawdown was -10.2% and the median VIX was 31.2. SPY drawdowns ranged from -9.1% to -17.6%; VIX ranged from 20.2 to 45.8. Every exit occurred during conditions that would be recognized as market stress -- not ordinary pullbacks.</w:t>
      </w:r>
    </w:p>
    <w:p>
      <w:r>
        <w:t>This is roughly the range where ordinary corrections begin to evolve into true stress regimes marked by elevated volatility, forced deleveraging, and unstable price action. Think of it as three zones: below 15% UPRO drawdown is normal leveraged noise; 20-30% is the unstable-correction zone where stress may be building; above 40% is a full bear market already underway. The 25% trigger sits right in the middle of the transition zone.</w:t>
      </w:r>
    </w:p>
    <w:p>
      <w:r>
        <w:t>The cooling period complements this. After a volatility regime shift, the probability of continued violent price action remains elevated for weeks -- a well-documented empirical phenomenon known as volatility clustering. The 40-day waiting period is a crude but effective way of staying out until that turbulence subsides.</w:t>
      </w:r>
    </w:p>
    <w:p>
      <w:r>
        <w:t>This framing also explains why the rule works better on UPRO than it would on SPY. If you applied a 25% exit to SPY itself, you would exit far too late -- by the time SPY is down 25%, the damage is already severe. But UPRO's leverage amplifies stress signals, making them visible earlier in the price path.</w:t>
      </w:r>
    </w:p>
    <w:p>
      <w:pPr>
        <w:pStyle w:val="Heading2"/>
      </w:pPr>
      <w:r>
        <w:t>Block Bootstrap Robustness Test</w:t>
      </w:r>
    </w:p>
    <w:p>
      <w:r>
        <w:t xml:space="preserve">The tests above examine whether the strategy works across different parameters and time periods. But a deeper question is: does the strategy's edge depend on the specific </w:t>
      </w:r>
      <w:r>
        <w:rPr>
          <w:i/>
        </w:rPr>
        <w:t>sequence</w:t>
      </w:r>
      <w:r>
        <w:t xml:space="preserve"> of historical events?</w:t>
      </w:r>
    </w:p>
    <w:p>
      <w:r>
        <w:t>To test this, I ran a block bootstrap simulation. The daily return series was divided into overlapping 20-day blocks, preserving volatility clustering and short-term market dynamics within each block. These blocks were randomly reordered 1,000 times to generate alternative market histories with the same statistical properties as the original data. Unlike a simple Monte Carlo shuffle (which destroys autocorrelation), block bootstrap preserves the multi-day crash sequences and recovery patterns that the strategy responds to.</w:t>
      </w:r>
    </w:p>
    <w:p>
      <w:r>
        <w:t>The result: the drawdown exit strategy produced a higher Sharpe ratio than buy-and-hold in only 36% of simulated paths, with a median Sharpe improvement of -0.05. This is the most important finding in the entire analysis. It means the strategy's Sharpe advantage over buy-and-hold is not a general property of the return distribution -- it is regime-conditional, dependent on the specific sequencing of bull runs followed by sharp crashes that characterized 2009-2026. In randomly reordered histories, the advantage usually disappears.</w:t>
      </w:r>
    </w:p>
    <w:p>
      <w:r>
        <w:t>This is an approximate regime test, not a precise replication of the production backtest -- the bootstrap uses a simplified close-only model and average risk-free carry rather than date-specific rates. But the directional conclusion is clear: the Sharpe edge is materially path-dependent.</w:t>
      </w:r>
    </w:p>
    <w:p>
      <w:r>
        <w:t xml:space="preserve">That does not mean the strategy is useless. Real markets </w:t>
      </w:r>
      <w:r>
        <w:rPr>
          <w:i/>
        </w:rPr>
        <w:t>do</w:t>
      </w:r>
      <w:r>
        <w:t xml:space="preserve"> exhibit the volatility clustering, momentum, and mean-reversion patterns that the drawdown rule responds to. The exit diagnostic table above confirms that the 25% trigger identifies genuine stress episodes in actual market history. But the honest conclusion is that the strategy is a useful practical overlay for regimes resembling recent history -- trending markets with occasional sharp corrections -- not evidence of a regime-invariant alpha source. In a market with fundamentally different dynamics (extended sideways chop, a multi-year grinding bear), the edge may shrink or disappear entirely.</w:t>
      </w:r>
    </w:p>
    <w:p>
      <w:pPr>
        <w:jc w:val="center"/>
      </w:pPr>
      <w:r>
        <w:drawing>
          <wp:inline xmlns:a="http://schemas.openxmlformats.org/drawingml/2006/main" xmlns:pic="http://schemas.openxmlformats.org/drawingml/2006/picture">
            <wp:extent cx="5486400" cy="2252190"/>
            <wp:docPr id="10" name="Picture 10"/>
            <wp:cNvGraphicFramePr>
              <a:graphicFrameLocks noChangeAspect="1"/>
            </wp:cNvGraphicFramePr>
            <a:graphic>
              <a:graphicData uri="http://schemas.openxmlformats.org/drawingml/2006/picture">
                <pic:pic>
                  <pic:nvPicPr>
                    <pic:cNvPr id="0" name="14_bootstrap.png"/>
                    <pic:cNvPicPr/>
                  </pic:nvPicPr>
                  <pic:blipFill>
                    <a:blip r:embed="rId18"/>
                    <a:stretch>
                      <a:fillRect/>
                    </a:stretch>
                  </pic:blipFill>
                  <pic:spPr>
                    <a:xfrm>
                      <a:off x="0" y="0"/>
                      <a:ext cx="5486400" cy="2252190"/>
                    </a:xfrm>
                    <a:prstGeom prst="rect"/>
                  </pic:spPr>
                </pic:pic>
              </a:graphicData>
            </a:graphic>
          </wp:inline>
        </w:drawing>
      </w:r>
    </w:p>
    <w:p/>
    <w:p>
      <w:pPr>
        <w:pStyle w:val="Heading2"/>
      </w:pPr>
      <w:r>
        <w:t>Volatility-Normalized Drawdown Rule</w:t>
      </w:r>
    </w:p>
    <w:p>
      <w:r>
        <w:t>A natural question: if the 25% threshold works because it detects volatility regimes, shouldn't a volatility-normalized version work even better? To test this, I implemented a generalized version: exit when the drawdown exceeds k times UPRO's 20-day realized volatility.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Variant</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Trades</w:t>
            </w:r>
          </w:p>
        </w:tc>
      </w:tr>
      <w:tr>
        <w:tc>
          <w:tcPr>
            <w:tcW w:type="dxa" w:w="1464"/>
          </w:tcPr>
          <w:p>
            <w:pPr>
              <w:jc w:val="left"/>
            </w:pPr>
            <w:r>
              <w:rPr>
                <w:b/>
                <w:sz w:val="18"/>
              </w:rPr>
              <w:t>DD25%/Cool40 (fixed)</w:t>
            </w:r>
          </w:p>
        </w:tc>
        <w:tc>
          <w:tcPr>
            <w:tcW w:type="dxa" w:w="1464"/>
          </w:tcPr>
          <w:p>
            <w:pPr>
              <w:jc w:val="center"/>
            </w:pPr>
            <w:r>
              <w:rPr>
                <w:b/>
                <w:sz w:val="18"/>
              </w:rPr>
              <w:t>$8.4M</w:t>
            </w:r>
          </w:p>
        </w:tc>
        <w:tc>
          <w:tcPr>
            <w:tcW w:type="dxa" w:w="1464"/>
          </w:tcPr>
          <w:p>
            <w:pPr>
              <w:jc w:val="center"/>
            </w:pPr>
            <w:r>
              <w:rPr>
                <w:b/>
                <w:sz w:val="18"/>
              </w:rPr>
              <w:t>+30.5%</w:t>
            </w:r>
          </w:p>
        </w:tc>
        <w:tc>
          <w:tcPr>
            <w:tcW w:type="dxa" w:w="1464"/>
          </w:tcPr>
          <w:p>
            <w:pPr>
              <w:jc w:val="center"/>
            </w:pPr>
            <w:r>
              <w:rPr>
                <w:b/>
                <w:sz w:val="18"/>
              </w:rPr>
              <w:t>0.85</w:t>
            </w:r>
          </w:p>
        </w:tc>
        <w:tc>
          <w:tcPr>
            <w:tcW w:type="dxa" w:w="1464"/>
          </w:tcPr>
          <w:p>
            <w:pPr>
              <w:jc w:val="center"/>
            </w:pPr>
            <w:r>
              <w:rPr>
                <w:b/>
                <w:sz w:val="18"/>
              </w:rPr>
              <w:t>-41.8%</w:t>
            </w:r>
          </w:p>
        </w:tc>
        <w:tc>
          <w:tcPr>
            <w:tcW w:type="dxa" w:w="1464"/>
          </w:tcPr>
          <w:p>
            <w:pPr>
              <w:jc w:val="center"/>
            </w:pPr>
            <w:r>
              <w:rPr>
                <w:b/>
                <w:sz w:val="18"/>
              </w:rPr>
              <w:t>31</w:t>
            </w:r>
          </w:p>
        </w:tc>
      </w:tr>
      <w:tr>
        <w:tc>
          <w:tcPr>
            <w:tcW w:type="dxa" w:w="1464"/>
          </w:tcPr>
          <w:p>
            <w:pPr>
              <w:jc w:val="left"/>
            </w:pPr>
            <w:r>
              <w:rPr>
                <w:sz w:val="18"/>
              </w:rPr>
              <w:t>VolNorm k=4</w:t>
            </w:r>
          </w:p>
        </w:tc>
        <w:tc>
          <w:tcPr>
            <w:tcW w:type="dxa" w:w="1464"/>
          </w:tcPr>
          <w:p>
            <w:pPr>
              <w:jc w:val="center"/>
            </w:pPr>
            <w:r>
              <w:rPr>
                <w:sz w:val="18"/>
              </w:rPr>
              <w:t>$1.4M</w:t>
            </w:r>
          </w:p>
        </w:tc>
        <w:tc>
          <w:tcPr>
            <w:tcW w:type="dxa" w:w="1464"/>
          </w:tcPr>
          <w:p>
            <w:pPr>
              <w:jc w:val="center"/>
            </w:pPr>
            <w:r>
              <w:rPr>
                <w:sz w:val="18"/>
              </w:rPr>
              <w:t>+17.0%</w:t>
            </w:r>
          </w:p>
        </w:tc>
        <w:tc>
          <w:tcPr>
            <w:tcW w:type="dxa" w:w="1464"/>
          </w:tcPr>
          <w:p>
            <w:pPr>
              <w:jc w:val="center"/>
            </w:pPr>
            <w:r>
              <w:rPr>
                <w:sz w:val="18"/>
              </w:rPr>
              <w:t>0.62</w:t>
            </w:r>
          </w:p>
        </w:tc>
        <w:tc>
          <w:tcPr>
            <w:tcW w:type="dxa" w:w="1464"/>
          </w:tcPr>
          <w:p>
            <w:pPr>
              <w:jc w:val="center"/>
            </w:pPr>
            <w:r>
              <w:rPr>
                <w:sz w:val="18"/>
              </w:rPr>
              <w:t>-56.7%</w:t>
            </w:r>
          </w:p>
        </w:tc>
        <w:tc>
          <w:tcPr>
            <w:tcW w:type="dxa" w:w="1464"/>
          </w:tcPr>
          <w:p>
            <w:pPr>
              <w:jc w:val="center"/>
            </w:pPr>
            <w:r>
              <w:rPr>
                <w:sz w:val="18"/>
              </w:rPr>
              <w:t>130</w:t>
            </w:r>
          </w:p>
        </w:tc>
      </w:tr>
      <w:tr>
        <w:tc>
          <w:tcPr>
            <w:tcW w:type="dxa" w:w="1464"/>
          </w:tcPr>
          <w:p>
            <w:pPr>
              <w:jc w:val="left"/>
            </w:pPr>
            <w:r>
              <w:rPr>
                <w:sz w:val="18"/>
              </w:rPr>
              <w:t>VolNorm k=5</w:t>
            </w:r>
          </w:p>
        </w:tc>
        <w:tc>
          <w:tcPr>
            <w:tcW w:type="dxa" w:w="1464"/>
          </w:tcPr>
          <w:p>
            <w:pPr>
              <w:jc w:val="center"/>
            </w:pPr>
            <w:r>
              <w:rPr>
                <w:sz w:val="18"/>
              </w:rPr>
              <w:t>$2.0M</w:t>
            </w:r>
          </w:p>
        </w:tc>
        <w:tc>
          <w:tcPr>
            <w:tcW w:type="dxa" w:w="1464"/>
          </w:tcPr>
          <w:p>
            <w:pPr>
              <w:jc w:val="center"/>
            </w:pPr>
            <w:r>
              <w:rPr>
                <w:sz w:val="18"/>
              </w:rPr>
              <w:t>+19.6%</w:t>
            </w:r>
          </w:p>
        </w:tc>
        <w:tc>
          <w:tcPr>
            <w:tcW w:type="dxa" w:w="1464"/>
          </w:tcPr>
          <w:p>
            <w:pPr>
              <w:jc w:val="center"/>
            </w:pPr>
            <w:r>
              <w:rPr>
                <w:sz w:val="18"/>
              </w:rPr>
              <w:t>0.67</w:t>
            </w:r>
          </w:p>
        </w:tc>
        <w:tc>
          <w:tcPr>
            <w:tcW w:type="dxa" w:w="1464"/>
          </w:tcPr>
          <w:p>
            <w:pPr>
              <w:jc w:val="center"/>
            </w:pPr>
            <w:r>
              <w:rPr>
                <w:sz w:val="18"/>
              </w:rPr>
              <w:t>-47.6%</w:t>
            </w:r>
          </w:p>
        </w:tc>
        <w:tc>
          <w:tcPr>
            <w:tcW w:type="dxa" w:w="1464"/>
          </w:tcPr>
          <w:p>
            <w:pPr>
              <w:jc w:val="center"/>
            </w:pPr>
            <w:r>
              <w:rPr>
                <w:sz w:val="18"/>
              </w:rPr>
              <w:t>87</w:t>
            </w:r>
          </w:p>
        </w:tc>
      </w:tr>
      <w:tr>
        <w:tc>
          <w:tcPr>
            <w:tcW w:type="dxa" w:w="1464"/>
          </w:tcPr>
          <w:p>
            <w:pPr>
              <w:jc w:val="left"/>
            </w:pPr>
            <w:r>
              <w:rPr>
                <w:sz w:val="18"/>
              </w:rPr>
              <w:t>VolNorm k=6</w:t>
            </w:r>
          </w:p>
        </w:tc>
        <w:tc>
          <w:tcPr>
            <w:tcW w:type="dxa" w:w="1464"/>
          </w:tcPr>
          <w:p>
            <w:pPr>
              <w:jc w:val="center"/>
            </w:pPr>
            <w:r>
              <w:rPr>
                <w:sz w:val="18"/>
              </w:rPr>
              <w:t>$1.1M</w:t>
            </w:r>
          </w:p>
        </w:tc>
        <w:tc>
          <w:tcPr>
            <w:tcW w:type="dxa" w:w="1464"/>
          </w:tcPr>
          <w:p>
            <w:pPr>
              <w:jc w:val="center"/>
            </w:pPr>
            <w:r>
              <w:rPr>
                <w:sz w:val="18"/>
              </w:rPr>
              <w:t>+15.5%</w:t>
            </w:r>
          </w:p>
        </w:tc>
        <w:tc>
          <w:tcPr>
            <w:tcW w:type="dxa" w:w="1464"/>
          </w:tcPr>
          <w:p>
            <w:pPr>
              <w:jc w:val="center"/>
            </w:pPr>
            <w:r>
              <w:rPr>
                <w:sz w:val="18"/>
              </w:rPr>
              <w:t>0.55</w:t>
            </w:r>
          </w:p>
        </w:tc>
        <w:tc>
          <w:tcPr>
            <w:tcW w:type="dxa" w:w="1464"/>
          </w:tcPr>
          <w:p>
            <w:pPr>
              <w:jc w:val="center"/>
            </w:pPr>
            <w:r>
              <w:rPr>
                <w:sz w:val="18"/>
              </w:rPr>
              <w:t>-54.1%</w:t>
            </w:r>
          </w:p>
        </w:tc>
        <w:tc>
          <w:tcPr>
            <w:tcW w:type="dxa" w:w="1464"/>
          </w:tcPr>
          <w:p>
            <w:pPr>
              <w:jc w:val="center"/>
            </w:pPr>
            <w:r>
              <w:rPr>
                <w:sz w:val="18"/>
              </w:rPr>
              <w:t>71</w:t>
            </w:r>
          </w:p>
        </w:tc>
      </w:tr>
      <w:tr>
        <w:tc>
          <w:tcPr>
            <w:tcW w:type="dxa" w:w="1464"/>
          </w:tcPr>
          <w:p>
            <w:pPr>
              <w:jc w:val="left"/>
            </w:pPr>
            <w:r>
              <w:rPr>
                <w:sz w:val="18"/>
              </w:rPr>
              <w:t>VolNorm k=7</w:t>
            </w:r>
          </w:p>
        </w:tc>
        <w:tc>
          <w:tcPr>
            <w:tcW w:type="dxa" w:w="1464"/>
          </w:tcPr>
          <w:p>
            <w:pPr>
              <w:jc w:val="center"/>
            </w:pPr>
            <w:r>
              <w:rPr>
                <w:sz w:val="18"/>
              </w:rPr>
              <w:t>$3.4M</w:t>
            </w:r>
          </w:p>
        </w:tc>
        <w:tc>
          <w:tcPr>
            <w:tcW w:type="dxa" w:w="1464"/>
          </w:tcPr>
          <w:p>
            <w:pPr>
              <w:jc w:val="center"/>
            </w:pPr>
            <w:r>
              <w:rPr>
                <w:sz w:val="18"/>
              </w:rPr>
              <w:t>+23.9%</w:t>
            </w:r>
          </w:p>
        </w:tc>
        <w:tc>
          <w:tcPr>
            <w:tcW w:type="dxa" w:w="1464"/>
          </w:tcPr>
          <w:p>
            <w:pPr>
              <w:jc w:val="center"/>
            </w:pPr>
            <w:r>
              <w:rPr>
                <w:sz w:val="18"/>
              </w:rPr>
              <w:t>0.71</w:t>
            </w:r>
          </w:p>
        </w:tc>
        <w:tc>
          <w:tcPr>
            <w:tcW w:type="dxa" w:w="1464"/>
          </w:tcPr>
          <w:p>
            <w:pPr>
              <w:jc w:val="center"/>
            </w:pPr>
            <w:r>
              <w:rPr>
                <w:sz w:val="18"/>
              </w:rPr>
              <w:t>-57.3%</w:t>
            </w:r>
          </w:p>
        </w:tc>
        <w:tc>
          <w:tcPr>
            <w:tcW w:type="dxa" w:w="1464"/>
          </w:tcPr>
          <w:p>
            <w:pPr>
              <w:jc w:val="center"/>
            </w:pPr>
            <w:r>
              <w:rPr>
                <w:sz w:val="18"/>
              </w:rPr>
              <w:t>43</w:t>
            </w:r>
          </w:p>
        </w:tc>
      </w:tr>
    </w:tbl>
    <w:p/>
    <w:p>
      <w:r>
        <w:t>The volatility-normalized variants all underperform the fixed 25% rule. The best (k=7) achieves a 0.71 Sharpe with more trades (43 vs. 31). This is a failed generalization test: the theoretically "smarter" adaptive threshold does not improve on the simple fixed rule over this period. The likely explanation is practical rather than deep -- a constant threshold produces fewer false signals during calm periods (when rolling volatility is low and the normalized threshold would be too tight) and remains effective during crises (when volatility spikes and the normalized threshold would be too loose). The result increases confidence that 25% is a practically useful threshold for UPRO, but it does not demonstrate that the number has any structural optimality beyond being well-matched to UPRO's realized volatility during 2009-2026.</w:t>
      </w:r>
    </w:p>
    <w:p>
      <w:pPr>
        <w:pStyle w:val="Heading2"/>
      </w:pPr>
      <w:r>
        <w:t>VIX-Gated Re-Entry</w:t>
      </w:r>
    </w:p>
    <w:p>
      <w:r>
        <w:t>Another natural refinement: instead of unconditionally re-entering after the 40-day cooling period, require the VIX to drop below a threshold (e.g., 25 or 30) before re-entering. The intuition is appealing -- don't buy back into a still-volatile market. I tested several combinations of shortened cooling periods (10 and 20 days) with VIX gates (25 and 30), as well as the full 40-day cooling period with a VIX gate. All variants underperformed the baseline DD25%/Cool40 on both terminal wealth and Sharpe ratio. The reason: VIX tends to stay elevated precisely during the sharp recovery rallies that drive most of the strategy's re-entry gains. Waiting for VIX to normalize means missing those recoveries and frequently whipsawing into a worse entry point. The unconditional 40-day cooling period, despite its simplicity, outperforms the "smarter" VIX-gated alternatives.</w:t>
      </w:r>
    </w:p>
    <w:p>
      <w:pPr>
        <w:pStyle w:val="Heading1"/>
      </w:pPr>
      <w:r>
        <w:t>What to Do With Idle Cash: T-Bills vs. Bonds</w:t>
      </w:r>
    </w:p>
    <w:p>
      <w:r>
        <w:t>So far, the DD25%/Cool40 strategy parks cash in T-bills during cooling periods -- safe, boring, and earning whatever the prevailing short-term rate is. But cooling periods tend to coincide with stock market stress, which is exactly when long-term Treasuries rally (flight to quality). Can you exploit that?</w:t>
      </w:r>
    </w:p>
    <w:p>
      <w:r>
        <w:t>I tested three cash vehicles during the cooling periods:</w:t>
      </w:r>
    </w:p>
    <w:p>
      <w:pPr>
        <w:pStyle w:val="ListNumber"/>
      </w:pPr>
      <w:r>
        <w:rPr>
          <w:b/>
        </w:rPr>
        <w:t>T-bills</w:t>
      </w:r>
      <w:r>
        <w:t xml:space="preserve"> (baseline): earn the 13-week T-bill rate, compounded daily. No price risk.</w:t>
      </w:r>
    </w:p>
    <w:p>
      <w:pPr>
        <w:pStyle w:val="ListNumber"/>
      </w:pPr>
      <w:r>
        <w:rPr>
          <w:b/>
        </w:rPr>
        <w:t>TLT</w:t>
      </w:r>
      <w:r>
        <w:t xml:space="preserve"> (iShares 20+ Year Treasury Bond ETF): buy TLT at the open when exiting UPRO, sell TLT at the open when re-entering UPRO. Unlevered long-term bonds.</w:t>
      </w:r>
    </w:p>
    <w:p>
      <w:pPr>
        <w:pStyle w:val="ListNumber"/>
      </w:pPr>
      <w:r>
        <w:rPr>
          <w:b/>
        </w:rPr>
        <w:t>TMF</w:t>
      </w:r>
      <w:r>
        <w:t xml:space="preserve"> (Direxion Daily 20+ Year Treasury Bull 3X): same as TLT but 3x leveraged. Maximum flight-to-quality exposure.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Cash Vehicle</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Sortino</w:t>
            </w:r>
          </w:p>
        </w:tc>
        <w:tc>
          <w:tcPr>
            <w:tcW w:type="dxa" w:w="1255"/>
          </w:tcPr>
          <w:p>
            <w:pPr>
              <w:jc w:val="center"/>
            </w:pPr>
            <w:r>
              <w:rPr>
                <w:b/>
                <w:sz w:val="18"/>
              </w:rPr>
              <w:t>Max DD</w:t>
            </w:r>
          </w:p>
        </w:tc>
        <w:tc>
          <w:tcPr>
            <w:tcW w:type="dxa" w:w="1255"/>
          </w:tcPr>
          <w:p>
            <w:pPr>
              <w:jc w:val="center"/>
            </w:pPr>
            <w:r>
              <w:rPr>
                <w:b/>
                <w:sz w:val="18"/>
              </w:rPr>
              <w:t>Calmar</w:t>
            </w:r>
          </w:p>
        </w:tc>
      </w:tr>
      <w:tr>
        <w:tc>
          <w:tcPr>
            <w:tcW w:type="dxa" w:w="1255"/>
          </w:tcPr>
          <w:p>
            <w:pPr>
              <w:jc w:val="left"/>
            </w:pPr>
            <w:r>
              <w:rPr>
                <w:sz w:val="18"/>
              </w:rPr>
              <w:t>T-bills</w:t>
            </w:r>
          </w:p>
        </w:tc>
        <w:tc>
          <w:tcPr>
            <w:tcW w:type="dxa" w:w="1255"/>
          </w:tcPr>
          <w:p>
            <w:pPr>
              <w:jc w:val="center"/>
            </w:pPr>
            <w:r>
              <w:rPr>
                <w:sz w:val="18"/>
              </w:rPr>
              <w:t>$8.4M</w:t>
            </w:r>
          </w:p>
        </w:tc>
        <w:tc>
          <w:tcPr>
            <w:tcW w:type="dxa" w:w="1255"/>
          </w:tcPr>
          <w:p>
            <w:pPr>
              <w:jc w:val="center"/>
            </w:pPr>
            <w:r>
              <w:rPr>
                <w:sz w:val="18"/>
              </w:rPr>
              <w:t>+30.5%</w:t>
            </w:r>
          </w:p>
        </w:tc>
        <w:tc>
          <w:tcPr>
            <w:tcW w:type="dxa" w:w="1255"/>
          </w:tcPr>
          <w:p>
            <w:pPr>
              <w:jc w:val="center"/>
            </w:pPr>
            <w:r>
              <w:rPr>
                <w:sz w:val="18"/>
              </w:rPr>
              <w:t>0.85</w:t>
            </w:r>
          </w:p>
        </w:tc>
        <w:tc>
          <w:tcPr>
            <w:tcW w:type="dxa" w:w="1255"/>
          </w:tcPr>
          <w:p>
            <w:pPr>
              <w:jc w:val="center"/>
            </w:pPr>
            <w:r>
              <w:rPr>
                <w:sz w:val="18"/>
              </w:rPr>
              <w:t>1.05</w:t>
            </w:r>
          </w:p>
        </w:tc>
        <w:tc>
          <w:tcPr>
            <w:tcW w:type="dxa" w:w="1255"/>
          </w:tcPr>
          <w:p>
            <w:pPr>
              <w:jc w:val="center"/>
            </w:pPr>
            <w:r>
              <w:rPr>
                <w:sz w:val="18"/>
              </w:rPr>
              <w:t>-41.8%</w:t>
            </w:r>
          </w:p>
        </w:tc>
        <w:tc>
          <w:tcPr>
            <w:tcW w:type="dxa" w:w="1255"/>
          </w:tcPr>
          <w:p>
            <w:pPr>
              <w:jc w:val="center"/>
            </w:pPr>
            <w:r>
              <w:rPr>
                <w:sz w:val="18"/>
              </w:rPr>
              <w:t>0.70</w:t>
            </w:r>
          </w:p>
        </w:tc>
      </w:tr>
      <w:tr>
        <w:tc>
          <w:tcPr>
            <w:tcW w:type="dxa" w:w="1255"/>
          </w:tcPr>
          <w:p>
            <w:pPr>
              <w:jc w:val="left"/>
            </w:pPr>
            <w:r>
              <w:rPr>
                <w:b/>
                <w:sz w:val="18"/>
              </w:rPr>
              <w:t>TLT</w:t>
            </w:r>
          </w:p>
        </w:tc>
        <w:tc>
          <w:tcPr>
            <w:tcW w:type="dxa" w:w="1255"/>
          </w:tcPr>
          <w:p>
            <w:pPr>
              <w:jc w:val="center"/>
            </w:pPr>
            <w:r>
              <w:rPr>
                <w:b/>
                <w:sz w:val="18"/>
              </w:rPr>
              <w:t>$10.4M</w:t>
            </w:r>
          </w:p>
        </w:tc>
        <w:tc>
          <w:tcPr>
            <w:tcW w:type="dxa" w:w="1255"/>
          </w:tcPr>
          <w:p>
            <w:pPr>
              <w:jc w:val="center"/>
            </w:pPr>
            <w:r>
              <w:rPr>
                <w:b/>
                <w:sz w:val="18"/>
              </w:rPr>
              <w:t>+32.1%</w:t>
            </w:r>
          </w:p>
        </w:tc>
        <w:tc>
          <w:tcPr>
            <w:tcW w:type="dxa" w:w="1255"/>
          </w:tcPr>
          <w:p>
            <w:pPr>
              <w:jc w:val="center"/>
            </w:pPr>
            <w:r>
              <w:rPr>
                <w:b/>
                <w:sz w:val="18"/>
              </w:rPr>
              <w:t>0.88</w:t>
            </w:r>
          </w:p>
        </w:tc>
        <w:tc>
          <w:tcPr>
            <w:tcW w:type="dxa" w:w="1255"/>
          </w:tcPr>
          <w:p>
            <w:pPr>
              <w:jc w:val="center"/>
            </w:pPr>
            <w:r>
              <w:rPr>
                <w:b/>
                <w:sz w:val="18"/>
              </w:rPr>
              <w:t>1.12</w:t>
            </w:r>
          </w:p>
        </w:tc>
        <w:tc>
          <w:tcPr>
            <w:tcW w:type="dxa" w:w="1255"/>
          </w:tcPr>
          <w:p>
            <w:pPr>
              <w:jc w:val="center"/>
            </w:pPr>
            <w:r>
              <w:rPr>
                <w:b/>
                <w:sz w:val="18"/>
              </w:rPr>
              <w:t>-55.3%</w:t>
            </w:r>
          </w:p>
        </w:tc>
        <w:tc>
          <w:tcPr>
            <w:tcW w:type="dxa" w:w="1255"/>
          </w:tcPr>
          <w:p>
            <w:pPr>
              <w:jc w:val="center"/>
            </w:pPr>
            <w:r>
              <w:rPr>
                <w:b/>
                <w:sz w:val="18"/>
              </w:rPr>
              <w:t>0.56</w:t>
            </w:r>
          </w:p>
        </w:tc>
      </w:tr>
      <w:tr>
        <w:tc>
          <w:tcPr>
            <w:tcW w:type="dxa" w:w="1255"/>
          </w:tcPr>
          <w:p>
            <w:pPr>
              <w:jc w:val="left"/>
            </w:pPr>
            <w:r>
              <w:rPr>
                <w:sz w:val="18"/>
              </w:rPr>
              <w:t>TMF</w:t>
            </w:r>
          </w:p>
        </w:tc>
        <w:tc>
          <w:tcPr>
            <w:tcW w:type="dxa" w:w="1255"/>
          </w:tcPr>
          <w:p>
            <w:pPr>
              <w:jc w:val="center"/>
            </w:pPr>
            <w:r>
              <w:rPr>
                <w:sz w:val="18"/>
              </w:rPr>
              <w:t>$11.3M</w:t>
            </w:r>
          </w:p>
        </w:tc>
        <w:tc>
          <w:tcPr>
            <w:tcW w:type="dxa" w:w="1255"/>
          </w:tcPr>
          <w:p>
            <w:pPr>
              <w:jc w:val="center"/>
            </w:pPr>
            <w:r>
              <w:rPr>
                <w:sz w:val="18"/>
              </w:rPr>
              <w:t>+32.8%</w:t>
            </w:r>
          </w:p>
        </w:tc>
        <w:tc>
          <w:tcPr>
            <w:tcW w:type="dxa" w:w="1255"/>
          </w:tcPr>
          <w:p>
            <w:pPr>
              <w:jc w:val="center"/>
            </w:pPr>
            <w:r>
              <w:rPr>
                <w:sz w:val="18"/>
              </w:rPr>
              <w:t>0.83</w:t>
            </w:r>
          </w:p>
        </w:tc>
        <w:tc>
          <w:tcPr>
            <w:tcW w:type="dxa" w:w="1255"/>
          </w:tcPr>
          <w:p>
            <w:pPr>
              <w:jc w:val="center"/>
            </w:pPr>
            <w:r>
              <w:rPr>
                <w:sz w:val="18"/>
              </w:rPr>
              <w:t>1.08</w:t>
            </w:r>
          </w:p>
        </w:tc>
        <w:tc>
          <w:tcPr>
            <w:tcW w:type="dxa" w:w="1255"/>
          </w:tcPr>
          <w:p>
            <w:pPr>
              <w:jc w:val="center"/>
            </w:pPr>
            <w:r>
              <w:rPr>
                <w:sz w:val="18"/>
              </w:rPr>
              <w:t>-76.7%</w:t>
            </w:r>
          </w:p>
        </w:tc>
        <w:tc>
          <w:tcPr>
            <w:tcW w:type="dxa" w:w="1255"/>
          </w:tcPr>
          <w:p>
            <w:pPr>
              <w:jc w:val="center"/>
            </w:pPr>
            <w:r>
              <w:rPr>
                <w:sz w:val="18"/>
              </w:rPr>
              <w:t>0.41</w:t>
            </w:r>
          </w:p>
        </w:tc>
      </w:tr>
      <w:tr>
        <w:tc>
          <w:tcPr>
            <w:tcW w:type="dxa" w:w="1255"/>
          </w:tcPr>
          <w:p>
            <w:pPr>
              <w:jc w:val="left"/>
            </w:pPr>
            <w:r>
              <w:rPr>
                <w:sz w:val="18"/>
              </w:rPr>
              <w:t>*UPRO B&amp;H*</w:t>
            </w:r>
          </w:p>
        </w:tc>
        <w:tc>
          <w:tcPr>
            <w:tcW w:type="dxa" w:w="1255"/>
          </w:tcPr>
          <w:p>
            <w:pPr>
              <w:jc w:val="center"/>
            </w:pPr>
            <w:r>
              <w:rPr>
                <w:sz w:val="18"/>
              </w:rPr>
              <w:t>*$9.5M*</w:t>
            </w:r>
          </w:p>
        </w:tc>
        <w:tc>
          <w:tcPr>
            <w:tcW w:type="dxa" w:w="1255"/>
          </w:tcPr>
          <w:p>
            <w:pPr>
              <w:jc w:val="center"/>
            </w:pPr>
            <w:r>
              <w:rPr>
                <w:sz w:val="18"/>
              </w:rPr>
              <w:t>*+31.4%*</w:t>
            </w:r>
          </w:p>
        </w:tc>
        <w:tc>
          <w:tcPr>
            <w:tcW w:type="dxa" w:w="1255"/>
          </w:tcPr>
          <w:p>
            <w:pPr>
              <w:jc w:val="center"/>
            </w:pPr>
            <w:r>
              <w:rPr>
                <w:sz w:val="18"/>
              </w:rPr>
              <w:t>*0.77*</w:t>
            </w:r>
          </w:p>
        </w:tc>
        <w:tc>
          <w:tcPr>
            <w:tcW w:type="dxa" w:w="1255"/>
          </w:tcPr>
          <w:p>
            <w:pPr>
              <w:jc w:val="center"/>
            </w:pPr>
            <w:r>
              <w:rPr>
                <w:sz w:val="18"/>
              </w:rPr>
              <w:t>*0.95*</w:t>
            </w:r>
          </w:p>
        </w:tc>
        <w:tc>
          <w:tcPr>
            <w:tcW w:type="dxa" w:w="1255"/>
          </w:tcPr>
          <w:p>
            <w:pPr>
              <w:jc w:val="center"/>
            </w:pPr>
            <w:r>
              <w:rPr>
                <w:sz w:val="18"/>
              </w:rPr>
              <w:t>*-76.8%*</w:t>
            </w:r>
          </w:p>
        </w:tc>
        <w:tc>
          <w:tcPr>
            <w:tcW w:type="dxa" w:w="1255"/>
          </w:tcPr>
          <w:p>
            <w:pPr>
              <w:jc w:val="center"/>
            </w:pPr>
            <w:r>
              <w:rPr>
                <w:sz w:val="18"/>
              </w:rPr>
              <w:t>*0.39*</w:t>
            </w:r>
          </w:p>
        </w:tc>
      </w:tr>
    </w:tbl>
    <w:p/>
    <w:p>
      <w:r>
        <w:t>Both bond variants beat the T-bill baseline on terminal wealth and Sharpe: TLT ($10.4M) and TMF ($11.3M) versus T-bills' $8.4M. TLT is the standout on risk-adjusted metrics. It achieves the highest Sharpe ratio in the entire analysis (0.88) with a manageable -55.3% max drawdown. The Sortino ratio (1.12) is also the best, reflecting particularly good downside risk management. TMF edges TLT on terminal wealth but at -76.7% max drawdown -- essentially giving back the entire drawdown advantage that makes the timing strategy worthwhile.</w:t>
      </w:r>
    </w:p>
    <w:p>
      <w:pPr>
        <w:pStyle w:val="Heading2"/>
      </w:pPr>
      <w:r>
        <w:t>Why TLT Works</w:t>
      </w:r>
    </w:p>
    <w:p>
      <w:r>
        <w:t>The logic is straightforward: the DD exit fires during stock market drawdowns, and long-term Treasuries tend to rally during exactly those periods. Here are the actual TLT and TMF returns during each cooling period:</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Days</w:t>
            </w:r>
          </w:p>
        </w:tc>
        <w:tc>
          <w:tcPr>
            <w:tcW w:type="dxa" w:w="1757"/>
          </w:tcPr>
          <w:p>
            <w:pPr>
              <w:jc w:val="center"/>
            </w:pPr>
            <w:r>
              <w:rPr>
                <w:b/>
                <w:sz w:val="18"/>
              </w:rPr>
              <w:t>T-bill</w:t>
            </w:r>
          </w:p>
        </w:tc>
        <w:tc>
          <w:tcPr>
            <w:tcW w:type="dxa" w:w="1757"/>
          </w:tcPr>
          <w:p>
            <w:pPr>
              <w:jc w:val="center"/>
            </w:pPr>
            <w:r>
              <w:rPr>
                <w:b/>
                <w:sz w:val="18"/>
              </w:rPr>
              <w:t>TLT Return</w:t>
            </w:r>
          </w:p>
        </w:tc>
        <w:tc>
          <w:tcPr>
            <w:tcW w:type="dxa" w:w="1757"/>
          </w:tcPr>
          <w:p>
            <w:pPr>
              <w:jc w:val="center"/>
            </w:pPr>
            <w:r>
              <w:rPr>
                <w:b/>
                <w:sz w:val="18"/>
              </w:rPr>
              <w:t>TMF Return</w:t>
            </w:r>
          </w:p>
        </w:tc>
      </w:tr>
      <w:tr>
        <w:tc>
          <w:tcPr>
            <w:tcW w:type="dxa" w:w="1757"/>
          </w:tcPr>
          <w:p>
            <w:pPr>
              <w:jc w:val="left"/>
            </w:pPr>
            <w:r>
              <w:rPr>
                <w:sz w:val="18"/>
              </w:rPr>
              <w:t>May-Jul 2010</w:t>
            </w:r>
          </w:p>
        </w:tc>
        <w:tc>
          <w:tcPr>
            <w:tcW w:type="dxa" w:w="1757"/>
          </w:tcPr>
          <w:p>
            <w:pPr>
              <w:jc w:val="center"/>
            </w:pPr>
            <w:r>
              <w:rPr>
                <w:sz w:val="18"/>
              </w:rPr>
              <w:t>60</w:t>
            </w:r>
          </w:p>
        </w:tc>
        <w:tc>
          <w:tcPr>
            <w:tcW w:type="dxa" w:w="1757"/>
          </w:tcPr>
          <w:p>
            <w:pPr>
              <w:jc w:val="center"/>
            </w:pPr>
            <w:r>
              <w:rPr>
                <w:sz w:val="18"/>
              </w:rPr>
              <w:t>+0.0%</w:t>
            </w:r>
          </w:p>
        </w:tc>
        <w:tc>
          <w:tcPr>
            <w:tcW w:type="dxa" w:w="1757"/>
          </w:tcPr>
          <w:p>
            <w:pPr>
              <w:jc w:val="center"/>
            </w:pPr>
            <w:r>
              <w:rPr>
                <w:sz w:val="18"/>
              </w:rPr>
              <w:t>+1.7%</w:t>
            </w:r>
          </w:p>
        </w:tc>
        <w:tc>
          <w:tcPr>
            <w:tcW w:type="dxa" w:w="1757"/>
          </w:tcPr>
          <w:p>
            <w:pPr>
              <w:jc w:val="center"/>
            </w:pPr>
            <w:r>
              <w:rPr>
                <w:sz w:val="18"/>
              </w:rPr>
              <w:t>+3.4%</w:t>
            </w:r>
          </w:p>
        </w:tc>
      </w:tr>
      <w:tr>
        <w:tc>
          <w:tcPr>
            <w:tcW w:type="dxa" w:w="1757"/>
          </w:tcPr>
          <w:p>
            <w:pPr>
              <w:jc w:val="left"/>
            </w:pPr>
            <w:r>
              <w:rPr>
                <w:sz w:val="18"/>
              </w:rPr>
              <w:t>Aug-Oct 2011 (debt ceiling)</w:t>
            </w:r>
          </w:p>
        </w:tc>
        <w:tc>
          <w:tcPr>
            <w:tcW w:type="dxa" w:w="1757"/>
          </w:tcPr>
          <w:p>
            <w:pPr>
              <w:jc w:val="center"/>
            </w:pPr>
            <w:r>
              <w:rPr>
                <w:sz w:val="18"/>
              </w:rPr>
              <w:t>59</w:t>
            </w:r>
          </w:p>
        </w:tc>
        <w:tc>
          <w:tcPr>
            <w:tcW w:type="dxa" w:w="1757"/>
          </w:tcPr>
          <w:p>
            <w:pPr>
              <w:jc w:val="center"/>
            </w:pPr>
            <w:r>
              <w:rPr>
                <w:sz w:val="18"/>
              </w:rPr>
              <w:t>+0.0%</w:t>
            </w:r>
          </w:p>
        </w:tc>
        <w:tc>
          <w:tcPr>
            <w:tcW w:type="dxa" w:w="1757"/>
          </w:tcPr>
          <w:p>
            <w:pPr>
              <w:jc w:val="center"/>
            </w:pPr>
            <w:r>
              <w:rPr>
                <w:sz w:val="18"/>
              </w:rPr>
              <w:t>+18.5%</w:t>
            </w:r>
          </w:p>
        </w:tc>
        <w:tc>
          <w:tcPr>
            <w:tcW w:type="dxa" w:w="1757"/>
          </w:tcPr>
          <w:p>
            <w:pPr>
              <w:jc w:val="center"/>
            </w:pPr>
            <w:r>
              <w:rPr>
                <w:sz w:val="18"/>
              </w:rPr>
              <w:t>+58.4%</w:t>
            </w:r>
          </w:p>
        </w:tc>
      </w:tr>
      <w:tr>
        <w:tc>
          <w:tcPr>
            <w:tcW w:type="dxa" w:w="1757"/>
          </w:tcPr>
          <w:p>
            <w:pPr>
              <w:jc w:val="left"/>
            </w:pPr>
            <w:r>
              <w:rPr>
                <w:sz w:val="18"/>
              </w:rPr>
              <w:t>Nov 2011-Jan 2012</w:t>
            </w:r>
          </w:p>
        </w:tc>
        <w:tc>
          <w:tcPr>
            <w:tcW w:type="dxa" w:w="1757"/>
          </w:tcPr>
          <w:p>
            <w:pPr>
              <w:jc w:val="center"/>
            </w:pPr>
            <w:r>
              <w:rPr>
                <w:sz w:val="18"/>
              </w:rPr>
              <w:t>55</w:t>
            </w:r>
          </w:p>
        </w:tc>
        <w:tc>
          <w:tcPr>
            <w:tcW w:type="dxa" w:w="1757"/>
          </w:tcPr>
          <w:p>
            <w:pPr>
              <w:jc w:val="center"/>
            </w:pPr>
            <w:r>
              <w:rPr>
                <w:sz w:val="18"/>
              </w:rPr>
              <w:t>+0.0%</w:t>
            </w:r>
          </w:p>
        </w:tc>
        <w:tc>
          <w:tcPr>
            <w:tcW w:type="dxa" w:w="1757"/>
          </w:tcPr>
          <w:p>
            <w:pPr>
              <w:jc w:val="center"/>
            </w:pPr>
            <w:r>
              <w:rPr>
                <w:sz w:val="18"/>
              </w:rPr>
              <w:t>-1.5%</w:t>
            </w:r>
          </w:p>
        </w:tc>
        <w:tc>
          <w:tcPr>
            <w:tcW w:type="dxa" w:w="1757"/>
          </w:tcPr>
          <w:p>
            <w:pPr>
              <w:jc w:val="center"/>
            </w:pPr>
            <w:r>
              <w:rPr>
                <w:sz w:val="18"/>
              </w:rPr>
              <w:t>-5.9%</w:t>
            </w:r>
          </w:p>
        </w:tc>
      </w:tr>
      <w:tr>
        <w:tc>
          <w:tcPr>
            <w:tcW w:type="dxa" w:w="1757"/>
          </w:tcPr>
          <w:p>
            <w:pPr>
              <w:jc w:val="left"/>
            </w:pPr>
            <w:r>
              <w:rPr>
                <w:sz w:val="18"/>
              </w:rPr>
              <w:t>Jun-Jul 2012</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+0.6%</w:t>
            </w:r>
          </w:p>
        </w:tc>
        <w:tc>
          <w:tcPr>
            <w:tcW w:type="dxa" w:w="1757"/>
          </w:tcPr>
          <w:p>
            <w:pPr>
              <w:jc w:val="center"/>
            </w:pPr>
            <w:r>
              <w:rPr>
                <w:sz w:val="18"/>
              </w:rPr>
              <w:t>+0.8%</w:t>
            </w:r>
          </w:p>
        </w:tc>
      </w:tr>
      <w:tr>
        <w:tc>
          <w:tcPr>
            <w:tcW w:type="dxa" w:w="1757"/>
          </w:tcPr>
          <w:p>
            <w:pPr>
              <w:jc w:val="left"/>
            </w:pPr>
            <w:r>
              <w:rPr>
                <w:sz w:val="18"/>
              </w:rPr>
              <w:t>Aug-Oct 2015</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-0.3%</w:t>
            </w:r>
          </w:p>
        </w:tc>
        <w:tc>
          <w:tcPr>
            <w:tcW w:type="dxa" w:w="1757"/>
          </w:tcPr>
          <w:p>
            <w:pPr>
              <w:jc w:val="center"/>
            </w:pPr>
            <w:r>
              <w:rPr>
                <w:sz w:val="18"/>
              </w:rPr>
              <w:t>-2.1%</w:t>
            </w:r>
          </w:p>
        </w:tc>
      </w:tr>
      <w:tr>
        <w:tc>
          <w:tcPr>
            <w:tcW w:type="dxa" w:w="1757"/>
          </w:tcPr>
          <w:p>
            <w:pPr>
              <w:jc w:val="left"/>
            </w:pPr>
            <w:r>
              <w:rPr>
                <w:sz w:val="18"/>
              </w:rPr>
              <w:t>Jan-Mar 2016</w:t>
            </w:r>
          </w:p>
        </w:tc>
        <w:tc>
          <w:tcPr>
            <w:tcW w:type="dxa" w:w="1757"/>
          </w:tcPr>
          <w:p>
            <w:pPr>
              <w:jc w:val="center"/>
            </w:pPr>
            <w:r>
              <w:rPr>
                <w:sz w:val="18"/>
              </w:rPr>
              <w:t>60</w:t>
            </w:r>
          </w:p>
        </w:tc>
        <w:tc>
          <w:tcPr>
            <w:tcW w:type="dxa" w:w="1757"/>
          </w:tcPr>
          <w:p>
            <w:pPr>
              <w:jc w:val="center"/>
            </w:pPr>
            <w:r>
              <w:rPr>
                <w:sz w:val="18"/>
              </w:rPr>
              <w:t>+0.1%</w:t>
            </w:r>
          </w:p>
        </w:tc>
        <w:tc>
          <w:tcPr>
            <w:tcW w:type="dxa" w:w="1757"/>
          </w:tcPr>
          <w:p>
            <w:pPr>
              <w:jc w:val="center"/>
            </w:pPr>
            <w:r>
              <w:rPr>
                <w:sz w:val="18"/>
              </w:rPr>
              <w:t>+3.1%</w:t>
            </w:r>
          </w:p>
        </w:tc>
        <w:tc>
          <w:tcPr>
            <w:tcW w:type="dxa" w:w="1757"/>
          </w:tcPr>
          <w:p>
            <w:pPr>
              <w:jc w:val="center"/>
            </w:pPr>
            <w:r>
              <w:rPr>
                <w:sz w:val="18"/>
              </w:rPr>
              <w:t>+8.2%</w:t>
            </w:r>
          </w:p>
        </w:tc>
      </w:tr>
      <w:tr>
        <w:tc>
          <w:tcPr>
            <w:tcW w:type="dxa" w:w="1757"/>
          </w:tcPr>
          <w:p>
            <w:pPr>
              <w:jc w:val="left"/>
            </w:pPr>
            <w:r>
              <w:rPr>
                <w:sz w:val="18"/>
              </w:rPr>
              <w:t>Feb-Apr 2018</w:t>
            </w:r>
          </w:p>
        </w:tc>
        <w:tc>
          <w:tcPr>
            <w:tcW w:type="dxa" w:w="1757"/>
          </w:tcPr>
          <w:p>
            <w:pPr>
              <w:jc w:val="center"/>
            </w:pPr>
            <w:r>
              <w:rPr>
                <w:sz w:val="18"/>
              </w:rPr>
              <w:t>60</w:t>
            </w:r>
          </w:p>
        </w:tc>
        <w:tc>
          <w:tcPr>
            <w:tcW w:type="dxa" w:w="1757"/>
          </w:tcPr>
          <w:p>
            <w:pPr>
              <w:jc w:val="center"/>
            </w:pPr>
            <w:r>
              <w:rPr>
                <w:sz w:val="18"/>
              </w:rPr>
              <w:t>+0.4%</w:t>
            </w:r>
          </w:p>
        </w:tc>
        <w:tc>
          <w:tcPr>
            <w:tcW w:type="dxa" w:w="1757"/>
          </w:tcPr>
          <w:p>
            <w:pPr>
              <w:jc w:val="center"/>
            </w:pPr>
            <w:r>
              <w:rPr>
                <w:sz w:val="18"/>
              </w:rPr>
              <w:t>+3.0%</w:t>
            </w:r>
          </w:p>
        </w:tc>
        <w:tc>
          <w:tcPr>
            <w:tcW w:type="dxa" w:w="1757"/>
          </w:tcPr>
          <w:p>
            <w:pPr>
              <w:jc w:val="center"/>
            </w:pPr>
            <w:r>
              <w:rPr>
                <w:sz w:val="18"/>
              </w:rPr>
              <w:t>+8.6%</w:t>
            </w:r>
          </w:p>
        </w:tc>
      </w:tr>
      <w:tr>
        <w:tc>
          <w:tcPr>
            <w:tcW w:type="dxa" w:w="1757"/>
          </w:tcPr>
          <w:p>
            <w:pPr>
              <w:jc w:val="left"/>
            </w:pPr>
            <w:r>
              <w:rPr>
                <w:sz w:val="18"/>
              </w:rPr>
              <w:t>Oct-Dec 2018</w:t>
            </w:r>
          </w:p>
        </w:tc>
        <w:tc>
          <w:tcPr>
            <w:tcW w:type="dxa" w:w="1757"/>
          </w:tcPr>
          <w:p>
            <w:pPr>
              <w:jc w:val="center"/>
            </w:pPr>
            <w:r>
              <w:rPr>
                <w:sz w:val="18"/>
              </w:rPr>
              <w:t>60</w:t>
            </w:r>
          </w:p>
        </w:tc>
        <w:tc>
          <w:tcPr>
            <w:tcW w:type="dxa" w:w="1757"/>
          </w:tcPr>
          <w:p>
            <w:pPr>
              <w:jc w:val="center"/>
            </w:pPr>
            <w:r>
              <w:rPr>
                <w:sz w:val="18"/>
              </w:rPr>
              <w:t>+0.5%</w:t>
            </w:r>
          </w:p>
        </w:tc>
        <w:tc>
          <w:tcPr>
            <w:tcW w:type="dxa" w:w="1757"/>
          </w:tcPr>
          <w:p>
            <w:pPr>
              <w:jc w:val="center"/>
            </w:pPr>
            <w:r>
              <w:rPr>
                <w:sz w:val="18"/>
              </w:rPr>
              <w:t>+6.5%</w:t>
            </w:r>
          </w:p>
        </w:tc>
        <w:tc>
          <w:tcPr>
            <w:tcW w:type="dxa" w:w="1757"/>
          </w:tcPr>
          <w:p>
            <w:pPr>
              <w:jc w:val="center"/>
            </w:pPr>
            <w:r>
              <w:rPr>
                <w:sz w:val="18"/>
              </w:rPr>
              <w:t>+19.6%</w:t>
            </w:r>
          </w:p>
        </w:tc>
      </w:tr>
      <w:tr>
        <w:tc>
          <w:tcPr>
            <w:tcW w:type="dxa" w:w="1757"/>
          </w:tcPr>
          <w:p>
            <w:pPr>
              <w:jc w:val="left"/>
            </w:pPr>
            <w:r>
              <w:rPr>
                <w:sz w:val="18"/>
              </w:rPr>
              <w:t>Feb-Apr 2020 (COVID)</w:t>
            </w:r>
          </w:p>
        </w:tc>
        <w:tc>
          <w:tcPr>
            <w:tcW w:type="dxa" w:w="1757"/>
          </w:tcPr>
          <w:p>
            <w:pPr>
              <w:jc w:val="center"/>
            </w:pPr>
            <w:r>
              <w:rPr>
                <w:sz w:val="18"/>
              </w:rPr>
              <w:t>59</w:t>
            </w:r>
          </w:p>
        </w:tc>
        <w:tc>
          <w:tcPr>
            <w:tcW w:type="dxa" w:w="1757"/>
          </w:tcPr>
          <w:p>
            <w:pPr>
              <w:jc w:val="center"/>
            </w:pPr>
            <w:r>
              <w:rPr>
                <w:sz w:val="18"/>
              </w:rPr>
              <w:t>+0.1%</w:t>
            </w:r>
          </w:p>
        </w:tc>
        <w:tc>
          <w:tcPr>
            <w:tcW w:type="dxa" w:w="1757"/>
          </w:tcPr>
          <w:p>
            <w:pPr>
              <w:jc w:val="center"/>
            </w:pPr>
            <w:r>
              <w:rPr>
                <w:sz w:val="18"/>
              </w:rPr>
              <w:t>+10.2%</w:t>
            </w:r>
          </w:p>
        </w:tc>
        <w:tc>
          <w:tcPr>
            <w:tcW w:type="dxa" w:w="1757"/>
          </w:tcPr>
          <w:p>
            <w:pPr>
              <w:jc w:val="center"/>
            </w:pPr>
            <w:r>
              <w:rPr>
                <w:sz w:val="18"/>
              </w:rPr>
              <w:t>+20.4%</w:t>
            </w:r>
          </w:p>
        </w:tc>
      </w:tr>
      <w:tr>
        <w:tc>
          <w:tcPr>
            <w:tcW w:type="dxa" w:w="1757"/>
          </w:tcPr>
          <w:p>
            <w:pPr>
              <w:jc w:val="left"/>
            </w:pPr>
            <w:r>
              <w:rPr>
                <w:sz w:val="18"/>
              </w:rPr>
              <w:t>Sep-Nov 2020</w:t>
            </w:r>
          </w:p>
        </w:tc>
        <w:tc>
          <w:tcPr>
            <w:tcW w:type="dxa" w:w="1757"/>
          </w:tcPr>
          <w:p>
            <w:pPr>
              <w:jc w:val="center"/>
            </w:pPr>
            <w:r>
              <w:rPr>
                <w:sz w:val="18"/>
              </w:rPr>
              <w:t>54</w:t>
            </w:r>
          </w:p>
        </w:tc>
        <w:tc>
          <w:tcPr>
            <w:tcW w:type="dxa" w:w="1757"/>
          </w:tcPr>
          <w:p>
            <w:pPr>
              <w:jc w:val="center"/>
            </w:pPr>
            <w:r>
              <w:rPr>
                <w:sz w:val="18"/>
              </w:rPr>
              <w:t>+0.0%</w:t>
            </w:r>
          </w:p>
        </w:tc>
        <w:tc>
          <w:tcPr>
            <w:tcW w:type="dxa" w:w="1757"/>
          </w:tcPr>
          <w:p>
            <w:pPr>
              <w:jc w:val="center"/>
            </w:pPr>
            <w:r>
              <w:rPr>
                <w:sz w:val="18"/>
              </w:rPr>
              <w:t>-3.5%</w:t>
            </w:r>
          </w:p>
        </w:tc>
        <w:tc>
          <w:tcPr>
            <w:tcW w:type="dxa" w:w="1757"/>
          </w:tcPr>
          <w:p>
            <w:pPr>
              <w:jc w:val="center"/>
            </w:pPr>
            <w:r>
              <w:rPr>
                <w:sz w:val="18"/>
              </w:rPr>
              <w:t>-11.1%</w:t>
            </w:r>
          </w:p>
        </w:tc>
      </w:tr>
      <w:tr>
        <w:tc>
          <w:tcPr>
            <w:tcW w:type="dxa" w:w="1757"/>
          </w:tcPr>
          <w:p>
            <w:pPr>
              <w:jc w:val="left"/>
            </w:pPr>
            <w:r>
              <w:rPr>
                <w:sz w:val="18"/>
              </w:rPr>
              <w:t>Jan-Mar 2022 (rate hikes)</w:t>
            </w:r>
          </w:p>
        </w:tc>
        <w:tc>
          <w:tcPr>
            <w:tcW w:type="dxa" w:w="1757"/>
          </w:tcPr>
          <w:p>
            <w:pPr>
              <w:jc w:val="center"/>
            </w:pPr>
            <w:r>
              <w:rPr>
                <w:sz w:val="18"/>
              </w:rPr>
              <w:t>57</w:t>
            </w:r>
          </w:p>
        </w:tc>
        <w:tc>
          <w:tcPr>
            <w:tcW w:type="dxa" w:w="1757"/>
          </w:tcPr>
          <w:p>
            <w:pPr>
              <w:jc w:val="center"/>
            </w:pPr>
            <w:r>
              <w:rPr>
                <w:sz w:val="18"/>
              </w:rPr>
              <w:t>+0.1%</w:t>
            </w:r>
          </w:p>
        </w:tc>
        <w:tc>
          <w:tcPr>
            <w:tcW w:type="dxa" w:w="1757"/>
          </w:tcPr>
          <w:p>
            <w:pPr>
              <w:jc w:val="center"/>
            </w:pPr>
            <w:r>
              <w:rPr>
                <w:sz w:val="18"/>
              </w:rPr>
              <w:t>-8.6%</w:t>
            </w:r>
          </w:p>
        </w:tc>
        <w:tc>
          <w:tcPr>
            <w:tcW w:type="dxa" w:w="1757"/>
          </w:tcPr>
          <w:p>
            <w:pPr>
              <w:jc w:val="center"/>
            </w:pPr>
            <w:r>
              <w:rPr>
                <w:sz w:val="18"/>
              </w:rPr>
              <w:t>-25.5%</w:t>
            </w:r>
          </w:p>
        </w:tc>
      </w:tr>
      <w:tr>
        <w:tc>
          <w:tcPr>
            <w:tcW w:type="dxa" w:w="1757"/>
          </w:tcPr>
          <w:p>
            <w:pPr>
              <w:jc w:val="left"/>
            </w:pPr>
            <w:r>
              <w:rPr>
                <w:sz w:val="18"/>
              </w:rPr>
              <w:t>Apr-Jun 2022</w:t>
            </w:r>
          </w:p>
        </w:tc>
        <w:tc>
          <w:tcPr>
            <w:tcW w:type="dxa" w:w="1757"/>
          </w:tcPr>
          <w:p>
            <w:pPr>
              <w:jc w:val="center"/>
            </w:pPr>
            <w:r>
              <w:rPr>
                <w:sz w:val="18"/>
              </w:rPr>
              <w:t>58</w:t>
            </w:r>
          </w:p>
        </w:tc>
        <w:tc>
          <w:tcPr>
            <w:tcW w:type="dxa" w:w="1757"/>
          </w:tcPr>
          <w:p>
            <w:pPr>
              <w:jc w:val="center"/>
            </w:pPr>
            <w:r>
              <w:rPr>
                <w:sz w:val="18"/>
              </w:rPr>
              <w:t>+0.2%</w:t>
            </w:r>
          </w:p>
        </w:tc>
        <w:tc>
          <w:tcPr>
            <w:tcW w:type="dxa" w:w="1757"/>
          </w:tcPr>
          <w:p>
            <w:pPr>
              <w:jc w:val="center"/>
            </w:pPr>
            <w:r>
              <w:rPr>
                <w:sz w:val="18"/>
              </w:rPr>
              <w:t>-6.8%</w:t>
            </w:r>
          </w:p>
        </w:tc>
        <w:tc>
          <w:tcPr>
            <w:tcW w:type="dxa" w:w="1757"/>
          </w:tcPr>
          <w:p>
            <w:pPr>
              <w:jc w:val="center"/>
            </w:pPr>
            <w:r>
              <w:rPr>
                <w:sz w:val="18"/>
              </w:rPr>
              <w:t>-21.3%</w:t>
            </w:r>
          </w:p>
        </w:tc>
      </w:tr>
      <w:tr>
        <w:tc>
          <w:tcPr>
            <w:tcW w:type="dxa" w:w="1757"/>
          </w:tcPr>
          <w:p>
            <w:pPr>
              <w:jc w:val="left"/>
            </w:pPr>
            <w:r>
              <w:rPr>
                <w:sz w:val="18"/>
              </w:rPr>
              <w:t>Sep-Nov 2022</w:t>
            </w:r>
          </w:p>
        </w:tc>
        <w:tc>
          <w:tcPr>
            <w:tcW w:type="dxa" w:w="1757"/>
          </w:tcPr>
          <w:p>
            <w:pPr>
              <w:jc w:val="center"/>
            </w:pPr>
            <w:r>
              <w:rPr>
                <w:sz w:val="18"/>
              </w:rPr>
              <w:t>56</w:t>
            </w:r>
          </w:p>
        </w:tc>
        <w:tc>
          <w:tcPr>
            <w:tcW w:type="dxa" w:w="1757"/>
          </w:tcPr>
          <w:p>
            <w:pPr>
              <w:jc w:val="center"/>
            </w:pPr>
            <w:r>
              <w:rPr>
                <w:sz w:val="18"/>
              </w:rPr>
              <w:t>+0.8%</w:t>
            </w:r>
          </w:p>
        </w:tc>
        <w:tc>
          <w:tcPr>
            <w:tcW w:type="dxa" w:w="1757"/>
          </w:tcPr>
          <w:p>
            <w:pPr>
              <w:jc w:val="center"/>
            </w:pPr>
            <w:r>
              <w:rPr>
                <w:sz w:val="18"/>
              </w:rPr>
              <w:t>-10.1%</w:t>
            </w:r>
          </w:p>
        </w:tc>
        <w:tc>
          <w:tcPr>
            <w:tcW w:type="dxa" w:w="1757"/>
          </w:tcPr>
          <w:p>
            <w:pPr>
              <w:jc w:val="center"/>
            </w:pPr>
            <w:r>
              <w:rPr>
                <w:sz w:val="18"/>
              </w:rPr>
              <w:t>-29.8%</w:t>
            </w:r>
          </w:p>
        </w:tc>
      </w:tr>
      <w:tr>
        <w:tc>
          <w:tcPr>
            <w:tcW w:type="dxa" w:w="1757"/>
          </w:tcPr>
          <w:p>
            <w:pPr>
              <w:jc w:val="left"/>
            </w:pPr>
            <w:r>
              <w:rPr>
                <w:sz w:val="18"/>
              </w:rPr>
              <w:t>Oct-Dec 2023</w:t>
            </w:r>
          </w:p>
        </w:tc>
        <w:tc>
          <w:tcPr>
            <w:tcW w:type="dxa" w:w="1757"/>
          </w:tcPr>
          <w:p>
            <w:pPr>
              <w:jc w:val="center"/>
            </w:pPr>
            <w:r>
              <w:rPr>
                <w:sz w:val="18"/>
              </w:rPr>
              <w:t>49</w:t>
            </w:r>
          </w:p>
        </w:tc>
        <w:tc>
          <w:tcPr>
            <w:tcW w:type="dxa" w:w="1757"/>
          </w:tcPr>
          <w:p>
            <w:pPr>
              <w:jc w:val="center"/>
            </w:pPr>
            <w:r>
              <w:rPr>
                <w:sz w:val="18"/>
              </w:rPr>
              <w:t>+1.0%</w:t>
            </w:r>
          </w:p>
        </w:tc>
        <w:tc>
          <w:tcPr>
            <w:tcW w:type="dxa" w:w="1757"/>
          </w:tcPr>
          <w:p>
            <w:pPr>
              <w:jc w:val="center"/>
            </w:pPr>
            <w:r>
              <w:rPr>
                <w:sz w:val="18"/>
              </w:rPr>
              <w:t>+18.1%</w:t>
            </w:r>
          </w:p>
        </w:tc>
        <w:tc>
          <w:tcPr>
            <w:tcW w:type="dxa" w:w="1757"/>
          </w:tcPr>
          <w:p>
            <w:pPr>
              <w:jc w:val="center"/>
            </w:pPr>
            <w:r>
              <w:rPr>
                <w:sz w:val="18"/>
              </w:rPr>
              <w:t>+58.9%</w:t>
            </w:r>
          </w:p>
        </w:tc>
      </w:tr>
      <w:tr>
        <w:tc>
          <w:tcPr>
            <w:tcW w:type="dxa" w:w="1757"/>
          </w:tcPr>
          <w:p>
            <w:pPr>
              <w:jc w:val="left"/>
            </w:pPr>
            <w:r>
              <w:rPr>
                <w:sz w:val="18"/>
              </w:rPr>
              <w:t>Mar-May 2025</w:t>
            </w:r>
          </w:p>
        </w:tc>
        <w:tc>
          <w:tcPr>
            <w:tcW w:type="dxa" w:w="1757"/>
          </w:tcPr>
          <w:p>
            <w:pPr>
              <w:jc w:val="center"/>
            </w:pPr>
            <w:r>
              <w:rPr>
                <w:sz w:val="18"/>
              </w:rPr>
              <w:t>57</w:t>
            </w:r>
          </w:p>
        </w:tc>
        <w:tc>
          <w:tcPr>
            <w:tcW w:type="dxa" w:w="1757"/>
          </w:tcPr>
          <w:p>
            <w:pPr>
              <w:jc w:val="center"/>
            </w:pPr>
            <w:r>
              <w:rPr>
                <w:sz w:val="18"/>
              </w:rPr>
              <w:t>+0.9%</w:t>
            </w:r>
          </w:p>
        </w:tc>
        <w:tc>
          <w:tcPr>
            <w:tcW w:type="dxa" w:w="1757"/>
          </w:tcPr>
          <w:p>
            <w:pPr>
              <w:jc w:val="center"/>
            </w:pPr>
            <w:r>
              <w:rPr>
                <w:sz w:val="18"/>
              </w:rPr>
              <w:t>-1.5%</w:t>
            </w:r>
          </w:p>
        </w:tc>
        <w:tc>
          <w:tcPr>
            <w:tcW w:type="dxa" w:w="1757"/>
          </w:tcPr>
          <w:p>
            <w:pPr>
              <w:jc w:val="center"/>
            </w:pPr>
            <w:r>
              <w:rPr>
                <w:sz w:val="18"/>
              </w:rPr>
              <w:t>-7.4%</w:t>
            </w:r>
          </w:p>
        </w:tc>
      </w:tr>
    </w:tbl>
    <w:p/>
    <w:p>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 T-bills, by contrast, earned essentially nothing during the ZIRP (zero interest-rate policy) years (2010-2016, 2020) and only meaningful returns once the Fed started hiking in 2022 -- precisely the periods where TLT was losing money.</w:t>
      </w:r>
    </w:p>
    <w:p>
      <w:r>
        <w:t>TMF amplifies both sides: +58% during the 2011 debt ceiling, but -30% during the 2022 rate hikes. The 3x leverage turns a useful hedge into a coin flip.</w:t>
      </w:r>
    </w:p>
    <w:p>
      <w:pPr>
        <w:pStyle w:val="Heading2"/>
      </w:pPr>
      <w:r>
        <w:t>The Trade-Off</w:t>
      </w:r>
    </w:p>
    <w:p>
      <w:r>
        <w:t>TLT cash adds roughly 14 percentage points of max drawdown risk (-55% vs -42%) compared to T-bill cash. That's real. The source is 2022: three consecutive cash periods where TLT lost ground instead of providing shelter. In a T-bill world, those periods earned 0-5%. In a TLT world, they lost 8-10% each.</w:t>
      </w:r>
    </w:p>
    <w:p>
      <w:r>
        <w:t>But the risk is bounded. TLT's worst cooling-period return was -10.1% -- painful but not portfolio-threatening. TMF's worst was -29.8% -- genuinely dangerous. The 1x bond position bends during rate hikes; the 3x position breaks. One important caveat: the TLT hedge's historical success relies on equity drawdowns being driven by growth shocks (2011, 2018, 2020), where bonds rally as investors flee to safety. If future equity drawdowns are driven by persistent inflation rather than growth shocks, the stock-bond correlation could remain positive, reducing the effectiveness of the TLT hedge -- as we saw in 2022.</w:t>
      </w:r>
    </w:p>
    <w:p>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 with a -77% max drawdown nearly matching UPRO buy-and-hold.</w:t>
      </w:r>
    </w:p>
    <w:p>
      <w:pPr>
        <w:jc w:val="center"/>
      </w:pPr>
      <w:r>
        <w:drawing>
          <wp:inline xmlns:a="http://schemas.openxmlformats.org/drawingml/2006/main" xmlns:pic="http://schemas.openxmlformats.org/drawingml/2006/picture">
            <wp:extent cx="5486400" cy="3267431"/>
            <wp:docPr id="11" name="Picture 11"/>
            <wp:cNvGraphicFramePr>
              <a:graphicFrameLocks noChangeAspect="1"/>
            </wp:cNvGraphicFramePr>
            <a:graphic>
              <a:graphicData uri="http://schemas.openxmlformats.org/drawingml/2006/picture">
                <pic:pic>
                  <pic:nvPicPr>
                    <pic:cNvPr id="0" name="09_bond_cash.png"/>
                    <pic:cNvPicPr/>
                  </pic:nvPicPr>
                  <pic:blipFill>
                    <a:blip r:embed="rId19"/>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TLT (or a money market fund if you prefer the safer variant).</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(31 total signals) over 16+ years (~1 per year), this is manageable but real. In an IRA or 401(k), it's a non-issue. In a taxable account, most exits are actually gains (12 of 15 historically) because the 25% drawdown trigger fires from the all-time high, not from the entry price -- so exits typically occur well above where you bought in. The three loss exits (early 2012, early 2016, spring 2022) came from quick whipsaws where re-entry was followed by another drawdown, and those do provide tax-loss harvesting opportunities.</w:t>
      </w:r>
    </w:p>
    <w:p>
      <w:r>
        <w:rPr>
          <w:b/>
        </w:rPr>
        <w:t>Transaction costs.</w:t>
      </w:r>
      <w:r>
        <w:t xml:space="preserve"> At 31 trade signals (~15 complete exit/re-entry cycles) over 16+ years and $0 commissions at most brokers, costs are negligible.</w:t>
      </w:r>
    </w:p>
    <w:p>
      <w:r>
        <w:rPr>
          <w:b/>
        </w:rPr>
        <w:t>Cash vehicle.</w:t>
      </w:r>
      <w:r>
        <w:t xml:space="preserve"> The baseline backtest uses T-bill rates during cash periods. The TLT variant -- buying long-term Treasuries during cooling periods -- produced the highest Sharpe ratio (0.88) and actually beat buy-and-hold on terminal wealth. See the "What to Do With Idle Cash" section for the full comparison.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Is the Strategy Now?</w:t>
      </w:r>
    </w:p>
    <w:p>
      <w:r>
        <w:t>If you had been following the DD25%/Cool40 strategy from UPRO's inception, here's your current position as of March 7,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+56.1% since re-entry.</w:t>
      </w:r>
    </w:p>
    <w:p>
      <w:r>
        <w:t>UPRO's all-time high was $122.23 on January 12, 2026. The current price of $108.16 represents a -11.5% drawdown from that peak -- a noticeable decline but still well below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At $108.16, the current drawdown is -11.5%, so there's still a substantial buffer before the exit would activate.</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(0.74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I used actual UPRO prices, so the decay from daily rebalancing is embedded in the data. But over longer periods, 3x daily leverage systematically underperforms 3x the index return. This is a feature of the product, not a modeling error.</w:t>
      </w:r>
    </w:p>
    <w:p>
      <w:r>
        <w:rPr>
          <w:b/>
        </w:rPr>
        <w:t>Dividends.</w:t>
      </w:r>
      <w:r>
        <w:t xml:space="preserve"> All prices in this analysis are dividend-adjusted (Yahoo Finance auto-adjust), meaning returns include reinvested distributions for all instruments. SPY pays approximately 1.2% annually in dividends; UPRO pays smaller quarterly distributions (~0.8% annually). Both are captured in the data. When a timing strategy is holding UPRO, returns include UPRO's distributions; when in cash, the portfolio earns the T-bill rate. This is an apples-to-apples comparison: both UPRO buy-and-hold and the timing strategies reflect total returns.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Conclusion</w:t>
      </w:r>
    </w:p>
    <w:p>
      <w:r>
        <w:t>Over the 2009-2026 test period, simple drawdown-triggered exits meaningfully improved UPRO's risk profile without exotic indicators, frequent trading, or complex portfolio construction. The DD25%/Cool40 rule -- exit at a 25% drawdown, wait 40 trading days before re-entering -- delivered a 0.85 Sharpe ratio while cutting the maximum drawdown from -77% to -42%.</w:t>
      </w:r>
    </w:p>
    <w:p>
      <w:r>
        <w:t>Parking idle cash in TLT during cooling periods pushes the result further: a 0.88 Sharpe ratio, $10.4M terminal wealth (beating buy-and-hold's $9.5M), and a -55% max drawdown. Block-bootstrap analysis (10,000 iterations reshuffling paired 20-day blocks of UPRO/TLT returns and re-running the DD exit strategy on each synthetic path) shows both variants produce positive Sharpe in 99.8%+ of simulations -- confirming the strategy's risk-adjusted edge is real, not a lucky accident. However, TLT's median bootstrapped Sharpe (0.72) is essentially equal to T-bill's (0.73), meaning TLT's historical advantage (0.88 vs 0.85) depends on the specific sequencing of flight-to-quality episodes during 2009-2026 rather than a structural edge that generalizes to arbitrary return orderings. The TLT variant exploits the flight-to-quality effect -- when stocks crash, long-term Treasuries tend to rally -- turning the cooling period from dead time into a productive hedge. But investors should understand that this benefit is regime-conditional: it works when equity drawdowns coincide with bond rallies (2011, 2018, 2020), not when both assets fall together (2022).</w:t>
      </w:r>
    </w:p>
    <w:p>
      <w:r>
        <w:t>The trade-off is explicit. The T-bill variant caps max drawdown at -42% but gives up about 12% of buy-and-hold's terminal wealth. The TLT variant beats buy-and-hold on wealth but accepts a -55% max drawdown. Pick the one that matches your risk tolerance.</w:t>
      </w:r>
    </w:p>
    <w:p>
      <w:r>
        <w:t>Robustness testing paints a mixed but honest picture. On the encouraging side: the DD25%/Cool40 parameters sit in a broad plateau of strong performance (not a fragile peak), walk-forward validation suggests the approach works out-of-sample, and exit diagnostics confirm the 25% trigger identifies genuine SPY stress episodes. On the cautionary side: block-bootstrap analysis shows the strategy beats buy-and-hold on Sharpe in only 36% of randomly reordered return histories, meaning the Sharpe advantage is regime-conditional -- it depends on the specific pattern of bull runs followed by sharp corrections that characterized 2009-2026. The strategy is a useful practical overlay for regimes resembling recent history, not evidence of a regime-invariant alpha source.</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I/we are long SPY (5,000+ shares across multiple accounts) and hold deep in-the-money SPY and QQQ LEAPS calls. I do not hold UPRO, SSO, TMF, or any other leveraged ETF.</w:t>
      </w:r>
    </w:p>
    <w:p>
      <w:r>
        <w:rPr>
          <w:i/>
          <w:color w:val="666666"/>
          <w:sz w:val="20"/>
        </w:rPr>
        <w:t>I wrote this article myself, and it expresses my own opinions. I am not receiving compensation for it (other than from Seeking Alpha). I have no business relationship with any company whose stock is mentioned in this article.</w:t>
      </w:r>
    </w:p>
    <w:p>
      <w:r>
        <w:rPr>
          <w:i/>
          <w:color w:val="666666"/>
          <w:sz w:val="20"/>
        </w:rPr>
        <w:t>The analysis uses historical data from 1950 (for extended S&amp;P 500 analysis) and June 2009 (for UPRO-specific results)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