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UPRO Without the Wipeout: 5 Timing Strategies That Cut Drawdowns by 40%</w:t>
      </w:r>
    </w:p>
    <w:p>
      <w:pPr>
        <w:pStyle w:val="Heading1"/>
      </w:pPr>
      <w:r>
        <w:t>Summary</w:t>
      </w:r>
    </w:p>
    <w:p>
      <w:pPr>
        <w:pStyle w:val="ListBullet"/>
      </w:pPr>
      <w:r>
        <w:t>UPRO has turned $100K into $10.2M since 2009 -- roughly 100x. But its -77% maximum drawdown means a $1M portfolio drops to $230K, and most investors bail out long before the recovery.</w:t>
      </w:r>
    </w:p>
    <w:p>
      <w:pPr>
        <w:pStyle w:val="ListBullet"/>
      </w:pPr>
      <w:r>
        <w:t>A leverage comparison reveals UPRO's hidden costs: a frictionless 3x position would have returned $22.6M, while 3x via margin yields only $3.1M. A static margin account avoids the -77% drawdown but would be margin-called in any period that doesn't start at a market bottom.</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0.90 Sharpe ratio and cut the maximum drawdown from -77% to -42%, at the cost of about 12% less terminal wealth. Robustness testing (walk-forward validation, parameter heatmaps, and a synthetic pre-2009 stress test) confirms the result is not a fragile optimum.</w:t>
      </w:r>
    </w:p>
    <w:p>
      <w:pPr>
        <w:pStyle w:val="ListBullet"/>
      </w:pPr>
      <w:r>
        <w:t>An enhancement: parking idle cash in TLT (long-term Treasuries) instead of T-bills during cooling periods pushes the Sharpe to 0.92 and terminal wealth to $11.1M -- actually beating UPRO buy-and-hold -- by harvesting flight-to-quality rallies when stocks crash. The 3x bond alternative (TMF) boosts returns further but gives back all the drawdown protection.</w:t>
      </w:r>
    </w:p>
    <w:p>
      <w:pPr>
        <w:pStyle w:val="Heading1"/>
      </w:pPr>
      <w:r>
        <w:t>The Problem With UPRO</w:t>
      </w:r>
    </w:p>
    <w:p>
      <w:r>
        <w:t>UPRO is one of the most striking backtests in retail investing. Since its inception on June 23, 2009, a $100,000 investment has grown to approximately $10.2 million. That's a 32.0% compound annual growth rate over 16+ years. No mainstream ETF comes close.</w:t>
      </w:r>
    </w:p>
    <w:p>
      <w:r>
        <w:t xml:space="preserve">You already know the catch. UPRO provides 3x daily leveraged exposure to the S&amp;P 500, and that leverage cuts both ways. During the COVID crash in March 2020, UPRO lost roughly two-thirds of its value in weeks. During the 2022 rate-hiking cycle, it drew down brutally. Over the full test period, UPRO's maximum drawdown was </w:t>
      </w:r>
      <w:r>
        <w:rPr>
          <w:b/>
        </w:rPr>
        <w:t>-76.8%</w:t>
      </w:r>
      <w:r>
        <w:t>. That's not a typo.</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This article asks a simple question: can we systematically reduce UPRO's drawdowns while keeping most of the upside? Not a magic system -- a risk management framework. I tested five approaches, each using a different market signal, across 16+ years of actual UPRO price data. The results are instructive.</w:t>
      </w:r>
    </w:p>
    <w:p>
      <w:r>
        <w:t>A quick note on mechanics: UPRO resets its 3x leverage daily, which means it's subject to volatility decay. In a choppy, sideways market, UPRO can lose money even if the S&amp;P 500 ends up flat. This is not a set-and-forget instrument, regardless of what the long-term backtest suggests.</w:t>
      </w:r>
    </w:p>
    <w:p>
      <w:pPr>
        <w:pStyle w:val="Heading1"/>
      </w:pPr>
      <w:r>
        <w:t>What I Tested</w:t>
      </w:r>
    </w:p>
    <w:p>
      <w:r>
        <w:t>I used actual UPRO daily prices from inception (June 23,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split-adjusted (auto_adjust), price returns only. Dividends are excluded, which is a conservative assumption -- actual returns for SPY would be modestly higher.</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T-bill rate (^IRX), compounded daily.</w:t>
      </w:r>
    </w:p>
    <w:p>
      <w:pPr>
        <w:pStyle w:val="ListBullet"/>
      </w:pPr>
      <w:r>
        <w:rPr>
          <w:b/>
        </w:rPr>
        <w:t>Slippage:</w:t>
      </w:r>
      <w:r>
        <w:t xml:space="preserve"> Not modeled. UPRO, SPY, and the other ETFs tested are large-cap, high-volume instruments with tight bid-ask spreads. Slippage on market-on-open orders would be minimal.</w:t>
      </w:r>
    </w:p>
    <w:p>
      <w:pPr>
        <w:pStyle w:val="ListBullet"/>
      </w:pPr>
      <w:r>
        <w:rPr>
          <w:b/>
        </w:rPr>
        <w:t>No intraday stops:</w:t>
      </w:r>
      <w:r>
        <w:t xml:space="preserve"> All signals are end-of-day close-based. No intraday monitoring is required.</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we're trying to beat -- and what we're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$10,161,336</w:t>
            </w:r>
          </w:p>
        </w:tc>
      </w:tr>
      <w:tr>
        <w:tc>
          <w:tcPr>
            <w:tcW w:type="dxa" w:w="4392"/>
          </w:tcPr>
          <w:p>
            <w:pPr>
              <w:jc w:val="left"/>
            </w:pPr>
            <w:r>
              <w:rPr>
                <w:sz w:val="18"/>
              </w:rPr>
              <w:t>CAGR</w:t>
            </w:r>
          </w:p>
        </w:tc>
        <w:tc>
          <w:tcPr>
            <w:tcW w:type="dxa" w:w="4392"/>
          </w:tcPr>
          <w:p>
            <w:pPr>
              <w:jc w:val="center"/>
            </w:pPr>
            <w:r>
              <w:rPr>
                <w:sz w:val="18"/>
              </w:rPr>
              <w:t>+32.0%</w:t>
            </w:r>
          </w:p>
        </w:tc>
      </w:tr>
      <w:tr>
        <w:tc>
          <w:tcPr>
            <w:tcW w:type="dxa" w:w="4392"/>
          </w:tcPr>
          <w:p>
            <w:pPr>
              <w:jc w:val="left"/>
            </w:pPr>
            <w:r>
              <w:rPr>
                <w:sz w:val="18"/>
              </w:rPr>
              <w:t>Sharpe Ratio</w:t>
            </w:r>
          </w:p>
        </w:tc>
        <w:tc>
          <w:tcPr>
            <w:tcW w:type="dxa" w:w="4392"/>
          </w:tcPr>
          <w:p>
            <w:pPr>
              <w:jc w:val="center"/>
            </w:pPr>
            <w:r>
              <w:rPr>
                <w:sz w:val="18"/>
              </w:rPr>
              <w:t>0.80</w:t>
            </w:r>
          </w:p>
        </w:tc>
      </w:tr>
      <w:tr>
        <w:tc>
          <w:tcPr>
            <w:tcW w:type="dxa" w:w="4392"/>
          </w:tcPr>
          <w:p>
            <w:pPr>
              <w:jc w:val="left"/>
            </w:pPr>
            <w:r>
              <w:rPr>
                <w:sz w:val="18"/>
              </w:rPr>
              <w:t>Sortino Ratio</w:t>
            </w:r>
          </w:p>
        </w:tc>
        <w:tc>
          <w:tcPr>
            <w:tcW w:type="dxa" w:w="4392"/>
          </w:tcPr>
          <w:p>
            <w:pPr>
              <w:jc w:val="center"/>
            </w:pPr>
            <w:r>
              <w:rPr>
                <w:sz w:val="18"/>
              </w:rPr>
              <w:t>0.99</w:t>
            </w:r>
          </w:p>
        </w:tc>
      </w:tr>
      <w:tr>
        <w:tc>
          <w:tcPr>
            <w:tcW w:type="dxa" w:w="4392"/>
          </w:tcPr>
          <w:p>
            <w:pPr>
              <w:jc w:val="left"/>
            </w:pPr>
            <w:r>
              <w:rPr>
                <w:sz w:val="18"/>
              </w:rPr>
              <w:t>Calmar Ratio</w:t>
            </w:r>
          </w:p>
        </w:tc>
        <w:tc>
          <w:tcPr>
            <w:tcW w:type="dxa" w:w="4392"/>
          </w:tcPr>
          <w:p>
            <w:pPr>
              <w:jc w:val="center"/>
            </w:pPr>
            <w:r>
              <w:rPr>
                <w:sz w:val="18"/>
              </w:rPr>
              <w:t>0.42</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These are extraordinary numbers. No timing strategy in this analysis beats buy-and-hold on total return. If you have the iron stomach to hold through a -77% drawdown -- and I mean genuinely hold, not just say you would in a hypothetical -- then buy-and-hold is the mathematically optimal choice.</w:t>
      </w:r>
    </w:p>
    <w:p>
      <w:r>
        <w:t>But an important caveat: this test period is overwhelmingly bullish. UPRO's inception happened to coincide with the beginning of the longest bull market in American history. Every timing strategy that says "hold UPRO most of the time" will look great in a period that is almost entirely up. We don't have actual UPRO data for 2000-2009, which would have been devastating. (We address this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we can navigate those periods more gracefully.</w:t>
      </w:r>
    </w:p>
    <w:p>
      <w:pPr>
        <w:pStyle w:val="Heading1"/>
      </w:pPr>
      <w:r>
        <w:t>The Cost of Daily Leverage: UPRO vs. Synthetic 3x SPY</w:t>
      </w:r>
    </w:p>
    <w:p>
      <w:r>
        <w:t>Before we get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$1,003,640</w:t>
            </w:r>
          </w:p>
        </w:tc>
        <w:tc>
          <w:tcPr>
            <w:tcW w:type="dxa" w:w="1464"/>
          </w:tcPr>
          <w:p>
            <w:pPr>
              <w:jc w:val="center"/>
            </w:pPr>
            <w:r>
              <w:rPr>
                <w:sz w:val="18"/>
              </w:rPr>
              <w:t>+14.9%</w:t>
            </w:r>
          </w:p>
        </w:tc>
        <w:tc>
          <w:tcPr>
            <w:tcW w:type="dxa" w:w="1464"/>
          </w:tcPr>
          <w:p>
            <w:pPr>
              <w:jc w:val="center"/>
            </w:pPr>
            <w:r>
              <w:rPr>
                <w:sz w:val="18"/>
              </w:rPr>
              <w:t>0.89</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$22,628,688</w:t>
            </w:r>
          </w:p>
        </w:tc>
        <w:tc>
          <w:tcPr>
            <w:tcW w:type="dxa" w:w="1464"/>
          </w:tcPr>
          <w:p>
            <w:pPr>
              <w:jc w:val="center"/>
            </w:pPr>
            <w:r>
              <w:rPr>
                <w:sz w:val="18"/>
              </w:rPr>
              <w:t>+38.5%</w:t>
            </w:r>
          </w:p>
        </w:tc>
        <w:tc>
          <w:tcPr>
            <w:tcW w:type="dxa" w:w="1464"/>
          </w:tcPr>
          <w:p>
            <w:pPr>
              <w:jc w:val="center"/>
            </w:pPr>
            <w:r>
              <w:rPr>
                <w:sz w:val="18"/>
              </w:rPr>
              <w:t>0.89</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$3,072,894</w:t>
            </w:r>
          </w:p>
        </w:tc>
        <w:tc>
          <w:tcPr>
            <w:tcW w:type="dxa" w:w="1464"/>
          </w:tcPr>
          <w:p>
            <w:pPr>
              <w:jc w:val="center"/>
            </w:pPr>
            <w:r>
              <w:rPr>
                <w:sz w:val="18"/>
              </w:rPr>
              <w:t>+22.8%</w:t>
            </w:r>
          </w:p>
        </w:tc>
        <w:tc>
          <w:tcPr>
            <w:tcW w:type="dxa" w:w="1464"/>
          </w:tcPr>
          <w:p>
            <w:pPr>
              <w:jc w:val="center"/>
            </w:pPr>
            <w:r>
              <w:rPr>
                <w:sz w:val="18"/>
              </w:rPr>
              <w:t>0.66</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$2,467,976</w:t>
            </w:r>
          </w:p>
        </w:tc>
        <w:tc>
          <w:tcPr>
            <w:tcW w:type="dxa" w:w="1464"/>
          </w:tcPr>
          <w:p>
            <w:pPr>
              <w:jc w:val="center"/>
            </w:pPr>
            <w:r>
              <w:rPr>
                <w:sz w:val="18"/>
              </w:rPr>
              <w:t>+21.2%</w:t>
            </w:r>
          </w:p>
        </w:tc>
        <w:tc>
          <w:tcPr>
            <w:tcW w:type="dxa" w:w="1464"/>
          </w:tcPr>
          <w:p>
            <w:pPr>
              <w:jc w:val="center"/>
            </w:pPr>
            <w:r>
              <w:rPr>
                <w:sz w:val="18"/>
              </w:rPr>
              <w:t>0.81</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$10,161,336</w:t>
            </w:r>
          </w:p>
        </w:tc>
        <w:tc>
          <w:tcPr>
            <w:tcW w:type="dxa" w:w="1464"/>
          </w:tcPr>
          <w:p>
            <w:pPr>
              <w:jc w:val="center"/>
            </w:pPr>
            <w:r>
              <w:rPr>
                <w:sz w:val="18"/>
              </w:rPr>
              <w:t>+32.0%</w:t>
            </w:r>
          </w:p>
        </w:tc>
        <w:tc>
          <w:tcPr>
            <w:tcW w:type="dxa" w:w="1464"/>
          </w:tcPr>
          <w:p>
            <w:pPr>
              <w:jc w:val="center"/>
            </w:pPr>
            <w:r>
              <w:rPr>
                <w:sz w:val="18"/>
              </w:rPr>
              <w:t>0.80</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$22.6M vs UPRO's $10.2M. That $12.4M gap is the cumulative cost of UPRO's 0.89% expense ratio, rebalancing slippage, and tracking error over 16+ years. Yet UPRO still crushes margin-based leverage ($3.1M for daily-rebalanced, $2.5M for static) because its embedded borrowing costs are far lower than 6% margin rates.</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 And even over the full 1950-2026 history, despite the S&amp;P 500 compounding at +8.2% annually for 76 years, the static 3x account got margin-called during the 1973-74 bear market and was stuck at $269K for the remaining 52 years while unlevered S&amp;P 500 grew to $41.3 million.</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barely keeping pace with the S&amp;P 500's $41.3M at 1x. During the lost decade,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w:t>
      </w:r>
    </w:p>
    <w:p>
      <w:r>
        <w:t>The problem is that VIX is reactive, not predictive. By the time VIX spikes above 25, you've already taken the first leg of the drawdown. And VIX often stays elevated during the early stages of recovery, causing you to miss the bounce.</w:t>
      </w:r>
    </w:p>
    <w:p>
      <w:r>
        <w:t>The best VIX variant (VIX &lt; 30) produced a $4.3M end value with a 0.75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$607K. CAGR: +11.4%. Sharpe: 0.50.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$3.3M. CAGR: +23.5%. Sharpe: 0.88. Sortino: 1.14. Max drawdown: -70.5%. The 67 "trades" are quarterly rebalancing events (adjusting the 55/45 allocation every ~63 trading days), not 67 round-trip trades.</w:t>
      </w:r>
    </w:p>
    <w:p>
      <w:r>
        <w:t>HFEA actually has the best Sortino ratio in the entire analysis -- meaning it handles downside volatility particularly well relative to its upside.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Winner</w:t>
      </w:r>
    </w:p>
    <w:p>
      <w:r>
        <w:t>This is the simplest concept and it produced the best risk-adjusted results.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$692K</w:t>
            </w:r>
          </w:p>
        </w:tc>
        <w:tc>
          <w:tcPr>
            <w:tcW w:type="dxa" w:w="1255"/>
          </w:tcPr>
          <w:p>
            <w:pPr>
              <w:jc w:val="center"/>
            </w:pPr>
            <w:r>
              <w:rPr>
                <w:sz w:val="18"/>
              </w:rPr>
              <w:t>+12.3%</w:t>
            </w:r>
          </w:p>
        </w:tc>
        <w:tc>
          <w:tcPr>
            <w:tcW w:type="dxa" w:w="1255"/>
          </w:tcPr>
          <w:p>
            <w:pPr>
              <w:jc w:val="center"/>
            </w:pPr>
            <w:r>
              <w:rPr>
                <w:sz w:val="18"/>
              </w:rPr>
              <w:t>0.52</w:t>
            </w:r>
          </w:p>
        </w:tc>
        <w:tc>
          <w:tcPr>
            <w:tcW w:type="dxa" w:w="1255"/>
          </w:tcPr>
          <w:p>
            <w:pPr>
              <w:jc w:val="center"/>
            </w:pPr>
            <w:r>
              <w:rPr>
                <w:sz w:val="18"/>
              </w:rPr>
              <w:t>-55.9%</w:t>
            </w:r>
          </w:p>
        </w:tc>
        <w:tc>
          <w:tcPr>
            <w:tcW w:type="dxa" w:w="1255"/>
          </w:tcPr>
          <w:p>
            <w:pPr>
              <w:jc w:val="center"/>
            </w:pPr>
            <w:r>
              <w:rPr>
                <w:sz w:val="18"/>
              </w:rPr>
              <w:t>155</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0.76</w:t>
            </w:r>
          </w:p>
        </w:tc>
        <w:tc>
          <w:tcPr>
            <w:tcW w:type="dxa" w:w="1255"/>
          </w:tcPr>
          <w:p>
            <w:pPr>
              <w:jc w:val="center"/>
            </w:pPr>
            <w:r>
              <w:rPr>
                <w:sz w:val="18"/>
              </w:rPr>
              <w:t>-52.4%</w:t>
            </w:r>
          </w:p>
        </w:tc>
        <w:tc>
          <w:tcPr>
            <w:tcW w:type="dxa" w:w="1255"/>
          </w:tcPr>
          <w:p>
            <w:pPr>
              <w:jc w:val="center"/>
            </w:pPr>
            <w:r>
              <w:rPr>
                <w:sz w:val="18"/>
              </w:rPr>
              <w:t>119</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$1.6M</w:t>
            </w:r>
          </w:p>
        </w:tc>
        <w:tc>
          <w:tcPr>
            <w:tcW w:type="dxa" w:w="1255"/>
          </w:tcPr>
          <w:p>
            <w:pPr>
              <w:jc w:val="center"/>
            </w:pPr>
            <w:r>
              <w:rPr>
                <w:sz w:val="18"/>
              </w:rPr>
              <w:t>+17.9%</w:t>
            </w:r>
          </w:p>
        </w:tc>
        <w:tc>
          <w:tcPr>
            <w:tcW w:type="dxa" w:w="1255"/>
          </w:tcPr>
          <w:p>
            <w:pPr>
              <w:jc w:val="center"/>
            </w:pPr>
            <w:r>
              <w:rPr>
                <w:sz w:val="18"/>
              </w:rPr>
              <w:t>0.75</w:t>
            </w:r>
          </w:p>
        </w:tc>
        <w:tc>
          <w:tcPr>
            <w:tcW w:type="dxa" w:w="1255"/>
          </w:tcPr>
          <w:p>
            <w:pPr>
              <w:jc w:val="center"/>
            </w:pPr>
            <w:r>
              <w:rPr>
                <w:sz w:val="18"/>
              </w:rPr>
              <w:t>-45.1%</w:t>
            </w:r>
          </w:p>
        </w:tc>
        <w:tc>
          <w:tcPr>
            <w:tcW w:type="dxa" w:w="1255"/>
          </w:tcPr>
          <w:p>
            <w:pPr>
              <w:jc w:val="center"/>
            </w:pPr>
            <w:r>
              <w:rPr>
                <w:sz w:val="18"/>
              </w:rPr>
              <w:t>103</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$1.5M</w:t>
            </w:r>
          </w:p>
        </w:tc>
        <w:tc>
          <w:tcPr>
            <w:tcW w:type="dxa" w:w="1255"/>
          </w:tcPr>
          <w:p>
            <w:pPr>
              <w:jc w:val="center"/>
            </w:pPr>
            <w:r>
              <w:rPr>
                <w:sz w:val="18"/>
              </w:rPr>
              <w:t>+17.5%</w:t>
            </w:r>
          </w:p>
        </w:tc>
        <w:tc>
          <w:tcPr>
            <w:tcW w:type="dxa" w:w="1255"/>
          </w:tcPr>
          <w:p>
            <w:pPr>
              <w:jc w:val="center"/>
            </w:pPr>
            <w:r>
              <w:rPr>
                <w:sz w:val="18"/>
              </w:rPr>
              <w:t>0.62</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$2.0M</w:t>
            </w:r>
          </w:p>
        </w:tc>
        <w:tc>
          <w:tcPr>
            <w:tcW w:type="dxa" w:w="1255"/>
          </w:tcPr>
          <w:p>
            <w:pPr>
              <w:jc w:val="center"/>
            </w:pPr>
            <w:r>
              <w:rPr>
                <w:sz w:val="18"/>
              </w:rPr>
              <w:t>+19.6%</w:t>
            </w:r>
          </w:p>
        </w:tc>
        <w:tc>
          <w:tcPr>
            <w:tcW w:type="dxa" w:w="1255"/>
          </w:tcPr>
          <w:p>
            <w:pPr>
              <w:jc w:val="center"/>
            </w:pPr>
            <w:r>
              <w:rPr>
                <w:sz w:val="18"/>
              </w:rPr>
              <w:t>0.70</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$441K</w:t>
            </w:r>
          </w:p>
        </w:tc>
        <w:tc>
          <w:tcPr>
            <w:tcW w:type="dxa" w:w="1255"/>
          </w:tcPr>
          <w:p>
            <w:pPr>
              <w:jc w:val="center"/>
            </w:pPr>
            <w:r>
              <w:rPr>
                <w:sz w:val="18"/>
              </w:rPr>
              <w:t>+9.3%</w:t>
            </w:r>
          </w:p>
        </w:tc>
        <w:tc>
          <w:tcPr>
            <w:tcW w:type="dxa" w:w="1255"/>
          </w:tcPr>
          <w:p>
            <w:pPr>
              <w:jc w:val="center"/>
            </w:pPr>
            <w:r>
              <w:rPr>
                <w:sz w:val="18"/>
              </w:rPr>
              <w:t>0.45</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$9.9M</w:t>
            </w:r>
          </w:p>
        </w:tc>
        <w:tc>
          <w:tcPr>
            <w:tcW w:type="dxa" w:w="1255"/>
          </w:tcPr>
          <w:p>
            <w:pPr>
              <w:jc w:val="center"/>
            </w:pPr>
            <w:r>
              <w:rPr>
                <w:sz w:val="18"/>
              </w:rPr>
              <w:t>+31.8%</w:t>
            </w:r>
          </w:p>
        </w:tc>
        <w:tc>
          <w:tcPr>
            <w:tcW w:type="dxa" w:w="1255"/>
          </w:tcPr>
          <w:p>
            <w:pPr>
              <w:jc w:val="center"/>
            </w:pPr>
            <w:r>
              <w:rPr>
                <w:sz w:val="18"/>
              </w:rPr>
              <w:t>0.88</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0.79</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$920K</w:t>
            </w:r>
          </w:p>
        </w:tc>
        <w:tc>
          <w:tcPr>
            <w:tcW w:type="dxa" w:w="1255"/>
          </w:tcPr>
          <w:p>
            <w:pPr>
              <w:jc w:val="center"/>
            </w:pPr>
            <w:r>
              <w:rPr>
                <w:sz w:val="18"/>
              </w:rPr>
              <w:t>+14.3%</w:t>
            </w:r>
          </w:p>
        </w:tc>
        <w:tc>
          <w:tcPr>
            <w:tcW w:type="dxa" w:w="1255"/>
          </w:tcPr>
          <w:p>
            <w:pPr>
              <w:jc w:val="center"/>
            </w:pPr>
            <w:r>
              <w:rPr>
                <w:sz w:val="18"/>
              </w:rPr>
              <w:t>0.57</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$10.0M</w:t>
            </w:r>
          </w:p>
        </w:tc>
        <w:tc>
          <w:tcPr>
            <w:tcW w:type="dxa" w:w="1255"/>
          </w:tcPr>
          <w:p>
            <w:pPr>
              <w:jc w:val="center"/>
            </w:pPr>
            <w:r>
              <w:rPr>
                <w:sz w:val="18"/>
              </w:rPr>
              <w:t>+31.9%</w:t>
            </w:r>
          </w:p>
        </w:tc>
        <w:tc>
          <w:tcPr>
            <w:tcW w:type="dxa" w:w="1255"/>
          </w:tcPr>
          <w:p>
            <w:pPr>
              <w:jc w:val="center"/>
            </w:pPr>
            <w:r>
              <w:rPr>
                <w:sz w:val="18"/>
              </w:rPr>
              <w:t>0.87</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0.69</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$441K end value is dramatically worse than nearby variants ($2.0M for DD15%/Cool40, $1.5M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(We address parameter sensitivity directly in the robustness section below.)</w:t>
      </w:r>
    </w:p>
    <w:p>
      <w:r>
        <w:t xml:space="preserve">The standout is </w:t>
      </w:r>
      <w:r>
        <w:rPr>
          <w:b/>
        </w:rPr>
        <w:t>DD25%/Cool40</w:t>
      </w:r>
      <w:r>
        <w:t>: exit when UPRO drops 25% from its peak, wait at least 40 trading days (~2 months) before re-entering.</w:t>
      </w:r>
    </w:p>
    <w:p>
      <w:r>
        <w:t>Why it works: the 25% threshold is wide enough to avoid whipsaws from normal UPRO volatility (this is a 3x fund -- 10-15% pullbacks happen routinely) but catches genuine bear markets. The 40-day cooling period forces patience. You don't buy the first dead-cat bounce. You wait for the storm to pass.</w:t>
      </w:r>
    </w:p>
    <w:p>
      <w:r>
        <w:t xml:space="preserve">The trade-off is explicit: you give up about $1.2 million in terminal wealth (12% of buy-and-hold's end value) in exchange for a maximum drawdown that's </w:t>
      </w:r>
      <w:r>
        <w:rPr>
          <w:b/>
        </w:rPr>
        <w:t>35 percentage points better</w:t>
      </w:r>
      <w:r>
        <w:t xml:space="preserve"> (-41.8% vs -76.8%). The Sharpe ratio improves from 0.80 to 0.90. 31 trade signals over 16+ years -- roughly one exit/re-entry cycle per year.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$1.2M end value, +15.9% CAGR, 0.60 Sharpe, -61.1% max DD. Composite 3-of-3: $893K, +14.1% CAGR, 0.61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$10.2M</w:t>
            </w:r>
          </w:p>
        </w:tc>
        <w:tc>
          <w:tcPr>
            <w:tcW w:type="dxa" w:w="1255"/>
          </w:tcPr>
          <w:p>
            <w:pPr>
              <w:jc w:val="center"/>
            </w:pPr>
            <w:r>
              <w:rPr>
                <w:b/>
                <w:sz w:val="18"/>
              </w:rPr>
              <w:t>+32.0%</w:t>
            </w:r>
          </w:p>
        </w:tc>
        <w:tc>
          <w:tcPr>
            <w:tcW w:type="dxa" w:w="1255"/>
          </w:tcPr>
          <w:p>
            <w:pPr>
              <w:jc w:val="center"/>
            </w:pPr>
            <w:r>
              <w:rPr>
                <w:b/>
                <w:sz w:val="18"/>
              </w:rPr>
              <w:t>0.80</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$4.3M</w:t>
            </w:r>
          </w:p>
        </w:tc>
        <w:tc>
          <w:tcPr>
            <w:tcW w:type="dxa" w:w="1255"/>
          </w:tcPr>
          <w:p>
            <w:pPr>
              <w:jc w:val="center"/>
            </w:pPr>
            <w:r>
              <w:rPr>
                <w:sz w:val="18"/>
              </w:rPr>
              <w:t>+25.3%</w:t>
            </w:r>
          </w:p>
        </w:tc>
        <w:tc>
          <w:tcPr>
            <w:tcW w:type="dxa" w:w="1255"/>
          </w:tcPr>
          <w:p>
            <w:pPr>
              <w:jc w:val="center"/>
            </w:pPr>
            <w:r>
              <w:rPr>
                <w:sz w:val="18"/>
              </w:rPr>
              <w:t>0.75</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$607K</w:t>
            </w:r>
          </w:p>
        </w:tc>
        <w:tc>
          <w:tcPr>
            <w:tcW w:type="dxa" w:w="1255"/>
          </w:tcPr>
          <w:p>
            <w:pPr>
              <w:jc w:val="center"/>
            </w:pPr>
            <w:r>
              <w:rPr>
                <w:sz w:val="18"/>
              </w:rPr>
              <w:t>+11.4%</w:t>
            </w:r>
          </w:p>
        </w:tc>
        <w:tc>
          <w:tcPr>
            <w:tcW w:type="dxa" w:w="1255"/>
          </w:tcPr>
          <w:p>
            <w:pPr>
              <w:jc w:val="center"/>
            </w:pPr>
            <w:r>
              <w:rPr>
                <w:sz w:val="18"/>
              </w:rPr>
              <w:t>0.50</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$3.3M</w:t>
            </w:r>
          </w:p>
        </w:tc>
        <w:tc>
          <w:tcPr>
            <w:tcW w:type="dxa" w:w="1255"/>
          </w:tcPr>
          <w:p>
            <w:pPr>
              <w:jc w:val="center"/>
            </w:pPr>
            <w:r>
              <w:rPr>
                <w:sz w:val="18"/>
              </w:rPr>
              <w:t>+23.5%</w:t>
            </w:r>
          </w:p>
        </w:tc>
        <w:tc>
          <w:tcPr>
            <w:tcW w:type="dxa" w:w="1255"/>
          </w:tcPr>
          <w:p>
            <w:pPr>
              <w:jc w:val="center"/>
            </w:pPr>
            <w:r>
              <w:rPr>
                <w:sz w:val="18"/>
              </w:rPr>
              <w:t>0.88</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0.60</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preserves 88% of buy-and-hold's terminal value while cutting the maximum drawdown nearly in half. It's the best risk-adjusted performer in the analysis.</w:t>
      </w:r>
    </w:p>
    <w:p>
      <w:pPr>
        <w:jc w:val="center"/>
      </w:pPr>
      <w:r>
        <w:drawing>
          <wp:inline xmlns:a="http://schemas.openxmlformats.org/drawingml/2006/main" xmlns:pic="http://schemas.openxmlformats.org/drawingml/2006/picture">
            <wp:extent cx="5486400" cy="3829079"/>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29079"/>
                    </a:xfrm>
                    <a:prstGeom prst="rect"/>
                  </pic:spPr>
                </pic:pic>
              </a:graphicData>
            </a:graphic>
          </wp:inline>
        </w:drawing>
      </w:r>
    </w:p>
    <w:p/>
    <w:p>
      <w:r>
        <w:t>HFEA is a respectable second on Sharpe (0.88)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We selected these parameters because they looked best on 2009-2026 data. Here's how we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0.90 Sharpe sits at the peak of a broad green plateau. Adjacent cells DD20-25%/Cool30-40 all produce Sharpe ratios above 0.79. You can shift the threshold by 5 percentage points or the cooling period by 10 days in either direction and still get strong risk-adjusted performance. This is not a fragile optimum -- it's a robust region.</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30.4% CAGR, 0.81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our confidence -- we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+30.4%</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0.81</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data going back to 1993, with a 0.89% expense ratio drag. This isn't a perfect proxy (it ignores swap costs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21.2% CAGR vs 20.9% CAGR, with a 0.68 Sharpe vs 0.62.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-0.04</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-0.21</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$52.3M</w:t>
            </w:r>
          </w:p>
        </w:tc>
        <w:tc>
          <w:tcPr>
            <w:tcW w:type="dxa" w:w="1464"/>
          </w:tcPr>
          <w:p>
            <w:pPr>
              <w:jc w:val="center"/>
            </w:pPr>
            <w:r>
              <w:rPr>
                <w:sz w:val="18"/>
              </w:rPr>
              <w:t>+20.9%</w:t>
            </w:r>
          </w:p>
        </w:tc>
        <w:tc>
          <w:tcPr>
            <w:tcW w:type="dxa" w:w="1464"/>
          </w:tcPr>
          <w:p>
            <w:pPr>
              <w:jc w:val="center"/>
            </w:pPr>
            <w:r>
              <w:rPr>
                <w:sz w:val="18"/>
              </w:rPr>
              <w:t>0.62</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$56.9M</w:t>
            </w:r>
          </w:p>
        </w:tc>
        <w:tc>
          <w:tcPr>
            <w:tcW w:type="dxa" w:w="1464"/>
          </w:tcPr>
          <w:p>
            <w:pPr>
              <w:jc w:val="center"/>
            </w:pPr>
            <w:r>
              <w:rPr>
                <w:sz w:val="18"/>
              </w:rPr>
              <w:t>+21.2%</w:t>
            </w:r>
          </w:p>
        </w:tc>
        <w:tc>
          <w:tcPr>
            <w:tcW w:type="dxa" w:w="1464"/>
          </w:tcPr>
          <w:p>
            <w:pPr>
              <w:jc w:val="center"/>
            </w:pPr>
            <w:r>
              <w:rPr>
                <w:sz w:val="18"/>
              </w:rPr>
              <w:t>0.68</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$9.0M</w:t>
            </w:r>
          </w:p>
        </w:tc>
        <w:tc>
          <w:tcPr>
            <w:tcW w:type="dxa" w:w="1757"/>
          </w:tcPr>
          <w:p>
            <w:pPr>
              <w:jc w:val="center"/>
            </w:pPr>
            <w:r>
              <w:rPr>
                <w:sz w:val="18"/>
              </w:rPr>
              <w:t>+31.0%</w:t>
            </w:r>
          </w:p>
        </w:tc>
        <w:tc>
          <w:tcPr>
            <w:tcW w:type="dxa" w:w="1757"/>
          </w:tcPr>
          <w:p>
            <w:pPr>
              <w:jc w:val="center"/>
            </w:pPr>
            <w:r>
              <w:rPr>
                <w:sz w:val="18"/>
              </w:rPr>
              <w:t>0.90</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$4.6M</w:t>
            </w:r>
          </w:p>
        </w:tc>
        <w:tc>
          <w:tcPr>
            <w:tcW w:type="dxa" w:w="1757"/>
          </w:tcPr>
          <w:p>
            <w:pPr>
              <w:jc w:val="center"/>
            </w:pPr>
            <w:r>
              <w:rPr>
                <w:sz w:val="18"/>
              </w:rPr>
              <w:t>+25.8%</w:t>
            </w:r>
          </w:p>
        </w:tc>
        <w:tc>
          <w:tcPr>
            <w:tcW w:type="dxa" w:w="1757"/>
          </w:tcPr>
          <w:p>
            <w:pPr>
              <w:jc w:val="center"/>
            </w:pPr>
            <w:r>
              <w:rPr>
                <w:sz w:val="18"/>
              </w:rPr>
              <w:t>0.80</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$2.3M</w:t>
            </w:r>
          </w:p>
        </w:tc>
        <w:tc>
          <w:tcPr>
            <w:tcW w:type="dxa" w:w="1757"/>
          </w:tcPr>
          <w:p>
            <w:pPr>
              <w:jc w:val="center"/>
            </w:pPr>
            <w:r>
              <w:rPr>
                <w:sz w:val="18"/>
              </w:rPr>
              <w:t>+20.7%</w:t>
            </w:r>
          </w:p>
        </w:tc>
        <w:tc>
          <w:tcPr>
            <w:tcW w:type="dxa" w:w="1757"/>
          </w:tcPr>
          <w:p>
            <w:pPr>
              <w:jc w:val="center"/>
            </w:pPr>
            <w:r>
              <w:rPr>
                <w:sz w:val="18"/>
              </w:rPr>
              <w:t>0.70</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$1.6M</w:t>
            </w:r>
          </w:p>
        </w:tc>
        <w:tc>
          <w:tcPr>
            <w:tcW w:type="dxa" w:w="1757"/>
          </w:tcPr>
          <w:p>
            <w:pPr>
              <w:jc w:val="center"/>
            </w:pPr>
            <w:r>
              <w:rPr>
                <w:sz w:val="18"/>
              </w:rPr>
              <w:t>+18.2%</w:t>
            </w:r>
          </w:p>
        </w:tc>
        <w:tc>
          <w:tcPr>
            <w:tcW w:type="dxa" w:w="1757"/>
          </w:tcPr>
          <w:p>
            <w:pPr>
              <w:jc w:val="center"/>
            </w:pPr>
            <w:r>
              <w:rPr>
                <w:sz w:val="18"/>
              </w:rPr>
              <w:t>0.64</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r>
        <w:t>The original DD25%/Cool40 rule -- re-enter after the cooling period expires or on a new ATH -- already handles bear markets effectively. The cooling period provides the patience; the ATH check provides the optimism. Adding an SMA gate is redundant at best and actively harmful at worst.</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1"/>
      </w:pPr>
      <w:r>
        <w:t>What to Do With Idle Cash: T-Bills vs. Bonds</w:t>
      </w:r>
    </w:p>
    <w:p>
      <w:r>
        <w:t>So far, the DD25%/Cool40 strategy parks cash in T-bills during cooling periods -- safe, boring, and earning whatever the prevailing short-term rate is. But cooling periods tend to coincide with stock market stress, which is exactly when long-term Treasuries rally (flight to quality). Can we exploit that?</w:t>
      </w:r>
    </w:p>
    <w:p>
      <w:r>
        <w:t>I tested three cash vehicles during the cooling periods:</w:t>
      </w:r>
    </w:p>
    <w:p>
      <w:pPr>
        <w:pStyle w:val="ListNumber"/>
      </w:pPr>
      <w:r>
        <w:rPr>
          <w:b/>
        </w:rPr>
        <w:t>T-bills</w:t>
      </w:r>
      <w:r>
        <w:t xml:space="preserve"> (baseline): earn the 13-week T-bill rate, compounded daily. No price risk.</w:t>
      </w:r>
    </w:p>
    <w:p>
      <w:pPr>
        <w:pStyle w:val="ListNumber"/>
      </w:pPr>
      <w:r>
        <w:rPr>
          <w:b/>
        </w:rPr>
        <w:t>TLT</w:t>
      </w:r>
      <w:r>
        <w:t xml:space="preserve"> (iShares 20+ Year Treasury Bond ETF): buy TLT at the open when exiting UPRO, sell TLT at the open when re-entering UPRO. Unlevered long-term bonds.</w:t>
      </w:r>
    </w:p>
    <w:p>
      <w:pPr>
        <w:pStyle w:val="ListNumber"/>
      </w:pPr>
      <w:r>
        <w:rPr>
          <w:b/>
        </w:rPr>
        <w:t>TMF</w:t>
      </w:r>
      <w:r>
        <w:t xml:space="preserve"> (Direxion Daily 20+ Year Treasury Bull 3X): same as TLT but 3x leveraged. Maximum flight-to-quality exposure.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Cash Vehicle</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Sortino</w:t>
            </w:r>
          </w:p>
        </w:tc>
        <w:tc>
          <w:tcPr>
            <w:tcW w:type="dxa" w:w="1255"/>
          </w:tcPr>
          <w:p>
            <w:pPr>
              <w:jc w:val="center"/>
            </w:pPr>
            <w:r>
              <w:rPr>
                <w:b/>
                <w:sz w:val="18"/>
              </w:rPr>
              <w:t>Max DD</w:t>
            </w:r>
          </w:p>
        </w:tc>
        <w:tc>
          <w:tcPr>
            <w:tcW w:type="dxa" w:w="1255"/>
          </w:tcPr>
          <w:p>
            <w:pPr>
              <w:jc w:val="center"/>
            </w:pPr>
            <w:r>
              <w:rPr>
                <w:b/>
                <w:sz w:val="18"/>
              </w:rPr>
              <w:t>Calmar</w:t>
            </w:r>
          </w:p>
        </w:tc>
      </w:tr>
      <w:tr>
        <w:tc>
          <w:tcPr>
            <w:tcW w:type="dxa" w:w="1255"/>
          </w:tcPr>
          <w:p>
            <w:pPr>
              <w:jc w:val="left"/>
            </w:pPr>
            <w:r>
              <w:rPr>
                <w:sz w:val="18"/>
              </w:rPr>
              <w:t>T-bills</w:t>
            </w:r>
          </w:p>
        </w:tc>
        <w:tc>
          <w:tcPr>
            <w:tcW w:type="dxa" w:w="1255"/>
          </w:tcPr>
          <w:p>
            <w:pPr>
              <w:jc w:val="center"/>
            </w:pPr>
            <w:r>
              <w:rPr>
                <w:sz w:val="18"/>
              </w:rPr>
              <w:t>$9.0M</w:t>
            </w:r>
          </w:p>
        </w:tc>
        <w:tc>
          <w:tcPr>
            <w:tcW w:type="dxa" w:w="1255"/>
          </w:tcPr>
          <w:p>
            <w:pPr>
              <w:jc w:val="center"/>
            </w:pPr>
            <w:r>
              <w:rPr>
                <w:sz w:val="18"/>
              </w:rPr>
              <w:t>+31.0%</w:t>
            </w:r>
          </w:p>
        </w:tc>
        <w:tc>
          <w:tcPr>
            <w:tcW w:type="dxa" w:w="1255"/>
          </w:tcPr>
          <w:p>
            <w:pPr>
              <w:jc w:val="center"/>
            </w:pPr>
            <w:r>
              <w:rPr>
                <w:sz w:val="18"/>
              </w:rPr>
              <w:t>0.90</w:t>
            </w:r>
          </w:p>
        </w:tc>
        <w:tc>
          <w:tcPr>
            <w:tcW w:type="dxa" w:w="1255"/>
          </w:tcPr>
          <w:p>
            <w:pPr>
              <w:jc w:val="center"/>
            </w:pPr>
            <w:r>
              <w:rPr>
                <w:sz w:val="18"/>
              </w:rPr>
              <w:t>1.07</w:t>
            </w:r>
          </w:p>
        </w:tc>
        <w:tc>
          <w:tcPr>
            <w:tcW w:type="dxa" w:w="1255"/>
          </w:tcPr>
          <w:p>
            <w:pPr>
              <w:jc w:val="center"/>
            </w:pPr>
            <w:r>
              <w:rPr>
                <w:sz w:val="18"/>
              </w:rPr>
              <w:t>-41.8%</w:t>
            </w:r>
          </w:p>
        </w:tc>
        <w:tc>
          <w:tcPr>
            <w:tcW w:type="dxa" w:w="1255"/>
          </w:tcPr>
          <w:p>
            <w:pPr>
              <w:jc w:val="center"/>
            </w:pPr>
            <w:r>
              <w:rPr>
                <w:sz w:val="18"/>
              </w:rPr>
              <w:t>0.74</w:t>
            </w:r>
          </w:p>
        </w:tc>
      </w:tr>
      <w:tr>
        <w:tc>
          <w:tcPr>
            <w:tcW w:type="dxa" w:w="1255"/>
          </w:tcPr>
          <w:p>
            <w:pPr>
              <w:jc w:val="left"/>
            </w:pPr>
            <w:r>
              <w:rPr>
                <w:b/>
                <w:sz w:val="18"/>
              </w:rPr>
              <w:t>TLT</w:t>
            </w:r>
          </w:p>
        </w:tc>
        <w:tc>
          <w:tcPr>
            <w:tcW w:type="dxa" w:w="1255"/>
          </w:tcPr>
          <w:p>
            <w:pPr>
              <w:jc w:val="center"/>
            </w:pPr>
            <w:r>
              <w:rPr>
                <w:b/>
                <w:sz w:val="18"/>
              </w:rPr>
              <w:t>$11.1M</w:t>
            </w:r>
          </w:p>
        </w:tc>
        <w:tc>
          <w:tcPr>
            <w:tcW w:type="dxa" w:w="1255"/>
          </w:tcPr>
          <w:p>
            <w:pPr>
              <w:jc w:val="center"/>
            </w:pPr>
            <w:r>
              <w:rPr>
                <w:b/>
                <w:sz w:val="18"/>
              </w:rPr>
              <w:t>+32.7%</w:t>
            </w:r>
          </w:p>
        </w:tc>
        <w:tc>
          <w:tcPr>
            <w:tcW w:type="dxa" w:w="1255"/>
          </w:tcPr>
          <w:p>
            <w:pPr>
              <w:jc w:val="center"/>
            </w:pPr>
            <w:r>
              <w:rPr>
                <w:b/>
                <w:sz w:val="18"/>
              </w:rPr>
              <w:t>0.92</w:t>
            </w:r>
          </w:p>
        </w:tc>
        <w:tc>
          <w:tcPr>
            <w:tcW w:type="dxa" w:w="1255"/>
          </w:tcPr>
          <w:p>
            <w:pPr>
              <w:jc w:val="center"/>
            </w:pPr>
            <w:r>
              <w:rPr>
                <w:b/>
                <w:sz w:val="18"/>
              </w:rPr>
              <w:t>1.17</w:t>
            </w:r>
          </w:p>
        </w:tc>
        <w:tc>
          <w:tcPr>
            <w:tcW w:type="dxa" w:w="1255"/>
          </w:tcPr>
          <w:p>
            <w:pPr>
              <w:jc w:val="center"/>
            </w:pPr>
            <w:r>
              <w:rPr>
                <w:b/>
                <w:sz w:val="18"/>
              </w:rPr>
              <w:t>-55.3%</w:t>
            </w:r>
          </w:p>
        </w:tc>
        <w:tc>
          <w:tcPr>
            <w:tcW w:type="dxa" w:w="1255"/>
          </w:tcPr>
          <w:p>
            <w:pPr>
              <w:jc w:val="center"/>
            </w:pPr>
            <w:r>
              <w:rPr>
                <w:b/>
                <w:sz w:val="18"/>
              </w:rPr>
              <w:t>0.59</w:t>
            </w:r>
          </w:p>
        </w:tc>
      </w:tr>
      <w:tr>
        <w:tc>
          <w:tcPr>
            <w:tcW w:type="dxa" w:w="1255"/>
          </w:tcPr>
          <w:p>
            <w:pPr>
              <w:jc w:val="left"/>
            </w:pPr>
            <w:r>
              <w:rPr>
                <w:sz w:val="18"/>
              </w:rPr>
              <w:t>TMF</w:t>
            </w:r>
          </w:p>
        </w:tc>
        <w:tc>
          <w:tcPr>
            <w:tcW w:type="dxa" w:w="1255"/>
          </w:tcPr>
          <w:p>
            <w:pPr>
              <w:jc w:val="center"/>
            </w:pPr>
            <w:r>
              <w:rPr>
                <w:sz w:val="18"/>
              </w:rPr>
              <w:t>$12.1M</w:t>
            </w:r>
          </w:p>
        </w:tc>
        <w:tc>
          <w:tcPr>
            <w:tcW w:type="dxa" w:w="1255"/>
          </w:tcPr>
          <w:p>
            <w:pPr>
              <w:jc w:val="center"/>
            </w:pPr>
            <w:r>
              <w:rPr>
                <w:sz w:val="18"/>
              </w:rPr>
              <w:t>+33.4%</w:t>
            </w:r>
          </w:p>
        </w:tc>
        <w:tc>
          <w:tcPr>
            <w:tcW w:type="dxa" w:w="1255"/>
          </w:tcPr>
          <w:p>
            <w:pPr>
              <w:jc w:val="center"/>
            </w:pPr>
            <w:r>
              <w:rPr>
                <w:sz w:val="18"/>
              </w:rPr>
              <w:t>0.87</w:t>
            </w:r>
          </w:p>
        </w:tc>
        <w:tc>
          <w:tcPr>
            <w:tcW w:type="dxa" w:w="1255"/>
          </w:tcPr>
          <w:p>
            <w:pPr>
              <w:jc w:val="center"/>
            </w:pPr>
            <w:r>
              <w:rPr>
                <w:sz w:val="18"/>
              </w:rPr>
              <w:t>1.13</w:t>
            </w:r>
          </w:p>
        </w:tc>
        <w:tc>
          <w:tcPr>
            <w:tcW w:type="dxa" w:w="1255"/>
          </w:tcPr>
          <w:p>
            <w:pPr>
              <w:jc w:val="center"/>
            </w:pPr>
            <w:r>
              <w:rPr>
                <w:sz w:val="18"/>
              </w:rPr>
              <w:t>-76.7%</w:t>
            </w:r>
          </w:p>
        </w:tc>
        <w:tc>
          <w:tcPr>
            <w:tcW w:type="dxa" w:w="1255"/>
          </w:tcPr>
          <w:p>
            <w:pPr>
              <w:jc w:val="center"/>
            </w:pPr>
            <w:r>
              <w:rPr>
                <w:sz w:val="18"/>
              </w:rPr>
              <w:t>0.43</w:t>
            </w:r>
          </w:p>
        </w:tc>
      </w:tr>
      <w:tr>
        <w:tc>
          <w:tcPr>
            <w:tcW w:type="dxa" w:w="1255"/>
          </w:tcPr>
          <w:p>
            <w:pPr>
              <w:jc w:val="left"/>
            </w:pPr>
            <w:r>
              <w:rPr>
                <w:sz w:val="18"/>
              </w:rPr>
              <w:t>*UPRO B&amp;H*</w:t>
            </w:r>
          </w:p>
        </w:tc>
        <w:tc>
          <w:tcPr>
            <w:tcW w:type="dxa" w:w="1255"/>
          </w:tcPr>
          <w:p>
            <w:pPr>
              <w:jc w:val="center"/>
            </w:pPr>
            <w:r>
              <w:rPr>
                <w:sz w:val="18"/>
              </w:rPr>
              <w:t>*$10.2M*</w:t>
            </w:r>
          </w:p>
        </w:tc>
        <w:tc>
          <w:tcPr>
            <w:tcW w:type="dxa" w:w="1255"/>
          </w:tcPr>
          <w:p>
            <w:pPr>
              <w:jc w:val="center"/>
            </w:pPr>
            <w:r>
              <w:rPr>
                <w:sz w:val="18"/>
              </w:rPr>
              <w:t>*+32.0%*</w:t>
            </w:r>
          </w:p>
        </w:tc>
        <w:tc>
          <w:tcPr>
            <w:tcW w:type="dxa" w:w="1255"/>
          </w:tcPr>
          <w:p>
            <w:pPr>
              <w:jc w:val="center"/>
            </w:pPr>
            <w:r>
              <w:rPr>
                <w:sz w:val="18"/>
              </w:rPr>
              <w:t>*0.80*</w:t>
            </w:r>
          </w:p>
        </w:tc>
        <w:tc>
          <w:tcPr>
            <w:tcW w:type="dxa" w:w="1255"/>
          </w:tcPr>
          <w:p>
            <w:pPr>
              <w:jc w:val="center"/>
            </w:pPr>
            <w:r>
              <w:rPr>
                <w:sz w:val="18"/>
              </w:rPr>
              <w:t>*0.99*</w:t>
            </w:r>
          </w:p>
        </w:tc>
        <w:tc>
          <w:tcPr>
            <w:tcW w:type="dxa" w:w="1255"/>
          </w:tcPr>
          <w:p>
            <w:pPr>
              <w:jc w:val="center"/>
            </w:pPr>
            <w:r>
              <w:rPr>
                <w:sz w:val="18"/>
              </w:rPr>
              <w:t>*-76.8%*</w:t>
            </w:r>
          </w:p>
        </w:tc>
        <w:tc>
          <w:tcPr>
            <w:tcW w:type="dxa" w:w="1255"/>
          </w:tcPr>
          <w:p>
            <w:pPr>
              <w:jc w:val="center"/>
            </w:pPr>
            <w:r>
              <w:rPr>
                <w:sz w:val="18"/>
              </w:rPr>
              <w:t>*0.42*</w:t>
            </w:r>
          </w:p>
        </w:tc>
      </w:tr>
    </w:tbl>
    <w:p/>
    <w:p>
      <w:r>
        <w:t xml:space="preserve">The TLT variant is the standout. It achieves the highest Sharpe ratio in the entire analysis (0.92) and is the </w:t>
      </w:r>
      <w:r>
        <w:rPr>
          <w:i/>
        </w:rPr>
        <w:t>only</w:t>
      </w:r>
      <w:r>
        <w:t xml:space="preserve"> timing variant that beats UPRO buy-and-hold on terminal wealth ($11.1M vs $10.2M). The Sortino ratio (1.17) is also the best, reflecting particularly good downside risk management.</w:t>
      </w:r>
    </w:p>
    <w:p>
      <w:pPr>
        <w:pStyle w:val="Heading2"/>
      </w:pPr>
      <w:r>
        <w:t>Why TLT Works</w:t>
      </w:r>
    </w:p>
    <w:p>
      <w:r>
        <w:t>The logic is straightforward: the DD exit fires during stock market drawdowns, and long-term Treasuries tend to rally during exactly those periods. Here are the actual TLT and TMF returns during each cooling period:</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Days</w:t>
            </w:r>
          </w:p>
        </w:tc>
        <w:tc>
          <w:tcPr>
            <w:tcW w:type="dxa" w:w="2196"/>
          </w:tcPr>
          <w:p>
            <w:pPr>
              <w:jc w:val="center"/>
            </w:pPr>
            <w:r>
              <w:rPr>
                <w:b/>
                <w:sz w:val="18"/>
              </w:rPr>
              <w:t>TLT Return</w:t>
            </w:r>
          </w:p>
        </w:tc>
        <w:tc>
          <w:tcPr>
            <w:tcW w:type="dxa" w:w="2196"/>
          </w:tcPr>
          <w:p>
            <w:pPr>
              <w:jc w:val="center"/>
            </w:pPr>
            <w:r>
              <w:rPr>
                <w:b/>
                <w:sz w:val="18"/>
              </w:rPr>
              <w:t>TMF Return</w:t>
            </w:r>
          </w:p>
        </w:tc>
      </w:tr>
      <w:tr>
        <w:tc>
          <w:tcPr>
            <w:tcW w:type="dxa" w:w="2196"/>
          </w:tcPr>
          <w:p>
            <w:pPr>
              <w:jc w:val="left"/>
            </w:pPr>
            <w:r>
              <w:rPr>
                <w:sz w:val="18"/>
              </w:rPr>
              <w:t>May-Jul 2010</w:t>
            </w:r>
          </w:p>
        </w:tc>
        <w:tc>
          <w:tcPr>
            <w:tcW w:type="dxa" w:w="2196"/>
          </w:tcPr>
          <w:p>
            <w:pPr>
              <w:jc w:val="center"/>
            </w:pPr>
            <w:r>
              <w:rPr>
                <w:sz w:val="18"/>
              </w:rPr>
              <w:t>60</w:t>
            </w:r>
          </w:p>
        </w:tc>
        <w:tc>
          <w:tcPr>
            <w:tcW w:type="dxa" w:w="2196"/>
          </w:tcPr>
          <w:p>
            <w:pPr>
              <w:jc w:val="center"/>
            </w:pPr>
            <w:r>
              <w:rPr>
                <w:sz w:val="18"/>
              </w:rPr>
              <w:t>+1.7%</w:t>
            </w:r>
          </w:p>
        </w:tc>
        <w:tc>
          <w:tcPr>
            <w:tcW w:type="dxa" w:w="2196"/>
          </w:tcPr>
          <w:p>
            <w:pPr>
              <w:jc w:val="center"/>
            </w:pPr>
            <w:r>
              <w:rPr>
                <w:sz w:val="18"/>
              </w:rPr>
              <w:t>+3.4%</w:t>
            </w:r>
          </w:p>
        </w:tc>
      </w:tr>
      <w:tr>
        <w:tc>
          <w:tcPr>
            <w:tcW w:type="dxa" w:w="2196"/>
          </w:tcPr>
          <w:p>
            <w:pPr>
              <w:jc w:val="left"/>
            </w:pPr>
            <w:r>
              <w:rPr>
                <w:sz w:val="18"/>
              </w:rPr>
              <w:t>Aug-Oct 2011 (debt ceiling)</w:t>
            </w:r>
          </w:p>
        </w:tc>
        <w:tc>
          <w:tcPr>
            <w:tcW w:type="dxa" w:w="2196"/>
          </w:tcPr>
          <w:p>
            <w:pPr>
              <w:jc w:val="center"/>
            </w:pPr>
            <w:r>
              <w:rPr>
                <w:sz w:val="18"/>
              </w:rPr>
              <w:t>59</w:t>
            </w:r>
          </w:p>
        </w:tc>
        <w:tc>
          <w:tcPr>
            <w:tcW w:type="dxa" w:w="2196"/>
          </w:tcPr>
          <w:p>
            <w:pPr>
              <w:jc w:val="center"/>
            </w:pPr>
            <w:r>
              <w:rPr>
                <w:sz w:val="18"/>
              </w:rPr>
              <w:t>+18.5%</w:t>
            </w:r>
          </w:p>
        </w:tc>
        <w:tc>
          <w:tcPr>
            <w:tcW w:type="dxa" w:w="2196"/>
          </w:tcPr>
          <w:p>
            <w:pPr>
              <w:jc w:val="center"/>
            </w:pPr>
            <w:r>
              <w:rPr>
                <w:sz w:val="18"/>
              </w:rPr>
              <w:t>+58.4%</w:t>
            </w:r>
          </w:p>
        </w:tc>
      </w:tr>
      <w:tr>
        <w:tc>
          <w:tcPr>
            <w:tcW w:type="dxa" w:w="2196"/>
          </w:tcPr>
          <w:p>
            <w:pPr>
              <w:jc w:val="left"/>
            </w:pPr>
            <w:r>
              <w:rPr>
                <w:sz w:val="18"/>
              </w:rPr>
              <w:t>Nov 2011-Jan 2012</w:t>
            </w:r>
          </w:p>
        </w:tc>
        <w:tc>
          <w:tcPr>
            <w:tcW w:type="dxa" w:w="2196"/>
          </w:tcPr>
          <w:p>
            <w:pPr>
              <w:jc w:val="center"/>
            </w:pPr>
            <w:r>
              <w:rPr>
                <w:sz w:val="18"/>
              </w:rPr>
              <w:t>55</w:t>
            </w:r>
          </w:p>
        </w:tc>
        <w:tc>
          <w:tcPr>
            <w:tcW w:type="dxa" w:w="2196"/>
          </w:tcPr>
          <w:p>
            <w:pPr>
              <w:jc w:val="center"/>
            </w:pPr>
            <w:r>
              <w:rPr>
                <w:sz w:val="18"/>
              </w:rPr>
              <w:t>-1.5%</w:t>
            </w:r>
          </w:p>
        </w:tc>
        <w:tc>
          <w:tcPr>
            <w:tcW w:type="dxa" w:w="2196"/>
          </w:tcPr>
          <w:p>
            <w:pPr>
              <w:jc w:val="center"/>
            </w:pPr>
            <w:r>
              <w:rPr>
                <w:sz w:val="18"/>
              </w:rPr>
              <w:t>-5.9%</w:t>
            </w:r>
          </w:p>
        </w:tc>
      </w:tr>
      <w:tr>
        <w:tc>
          <w:tcPr>
            <w:tcW w:type="dxa" w:w="2196"/>
          </w:tcPr>
          <w:p>
            <w:pPr>
              <w:jc w:val="left"/>
            </w:pPr>
            <w:r>
              <w:rPr>
                <w:sz w:val="18"/>
              </w:rPr>
              <w:t>Jun-Jul 2012</w:t>
            </w:r>
          </w:p>
        </w:tc>
        <w:tc>
          <w:tcPr>
            <w:tcW w:type="dxa" w:w="2196"/>
          </w:tcPr>
          <w:p>
            <w:pPr>
              <w:jc w:val="center"/>
            </w:pPr>
            <w:r>
              <w:rPr>
                <w:sz w:val="18"/>
              </w:rPr>
              <w:t>57</w:t>
            </w:r>
          </w:p>
        </w:tc>
        <w:tc>
          <w:tcPr>
            <w:tcW w:type="dxa" w:w="2196"/>
          </w:tcPr>
          <w:p>
            <w:pPr>
              <w:jc w:val="center"/>
            </w:pPr>
            <w:r>
              <w:rPr>
                <w:sz w:val="18"/>
              </w:rPr>
              <w:t>+0.6%</w:t>
            </w:r>
          </w:p>
        </w:tc>
        <w:tc>
          <w:tcPr>
            <w:tcW w:type="dxa" w:w="2196"/>
          </w:tcPr>
          <w:p>
            <w:pPr>
              <w:jc w:val="center"/>
            </w:pPr>
            <w:r>
              <w:rPr>
                <w:sz w:val="18"/>
              </w:rPr>
              <w:t>+0.8%</w:t>
            </w:r>
          </w:p>
        </w:tc>
      </w:tr>
      <w:tr>
        <w:tc>
          <w:tcPr>
            <w:tcW w:type="dxa" w:w="2196"/>
          </w:tcPr>
          <w:p>
            <w:pPr>
              <w:jc w:val="left"/>
            </w:pPr>
            <w:r>
              <w:rPr>
                <w:sz w:val="18"/>
              </w:rPr>
              <w:t>Aug-Oct 2015</w:t>
            </w:r>
          </w:p>
        </w:tc>
        <w:tc>
          <w:tcPr>
            <w:tcW w:type="dxa" w:w="2196"/>
          </w:tcPr>
          <w:p>
            <w:pPr>
              <w:jc w:val="center"/>
            </w:pPr>
            <w:r>
              <w:rPr>
                <w:sz w:val="18"/>
              </w:rPr>
              <w:t>57</w:t>
            </w:r>
          </w:p>
        </w:tc>
        <w:tc>
          <w:tcPr>
            <w:tcW w:type="dxa" w:w="2196"/>
          </w:tcPr>
          <w:p>
            <w:pPr>
              <w:jc w:val="center"/>
            </w:pPr>
            <w:r>
              <w:rPr>
                <w:sz w:val="18"/>
              </w:rPr>
              <w:t>-0.3%</w:t>
            </w:r>
          </w:p>
        </w:tc>
        <w:tc>
          <w:tcPr>
            <w:tcW w:type="dxa" w:w="2196"/>
          </w:tcPr>
          <w:p>
            <w:pPr>
              <w:jc w:val="center"/>
            </w:pPr>
            <w:r>
              <w:rPr>
                <w:sz w:val="18"/>
              </w:rPr>
              <w:t>-2.1%</w:t>
            </w:r>
          </w:p>
        </w:tc>
      </w:tr>
      <w:tr>
        <w:tc>
          <w:tcPr>
            <w:tcW w:type="dxa" w:w="2196"/>
          </w:tcPr>
          <w:p>
            <w:pPr>
              <w:jc w:val="left"/>
            </w:pPr>
            <w:r>
              <w:rPr>
                <w:sz w:val="18"/>
              </w:rPr>
              <w:t>Jan-Mar 2016</w:t>
            </w:r>
          </w:p>
        </w:tc>
        <w:tc>
          <w:tcPr>
            <w:tcW w:type="dxa" w:w="2196"/>
          </w:tcPr>
          <w:p>
            <w:pPr>
              <w:jc w:val="center"/>
            </w:pPr>
            <w:r>
              <w:rPr>
                <w:sz w:val="18"/>
              </w:rPr>
              <w:t>60</w:t>
            </w:r>
          </w:p>
        </w:tc>
        <w:tc>
          <w:tcPr>
            <w:tcW w:type="dxa" w:w="2196"/>
          </w:tcPr>
          <w:p>
            <w:pPr>
              <w:jc w:val="center"/>
            </w:pPr>
            <w:r>
              <w:rPr>
                <w:sz w:val="18"/>
              </w:rPr>
              <w:t>+3.1%</w:t>
            </w:r>
          </w:p>
        </w:tc>
        <w:tc>
          <w:tcPr>
            <w:tcW w:type="dxa" w:w="2196"/>
          </w:tcPr>
          <w:p>
            <w:pPr>
              <w:jc w:val="center"/>
            </w:pPr>
            <w:r>
              <w:rPr>
                <w:sz w:val="18"/>
              </w:rPr>
              <w:t>+8.2%</w:t>
            </w:r>
          </w:p>
        </w:tc>
      </w:tr>
      <w:tr>
        <w:tc>
          <w:tcPr>
            <w:tcW w:type="dxa" w:w="2196"/>
          </w:tcPr>
          <w:p>
            <w:pPr>
              <w:jc w:val="left"/>
            </w:pPr>
            <w:r>
              <w:rPr>
                <w:sz w:val="18"/>
              </w:rPr>
              <w:t>Feb-Apr 2018</w:t>
            </w:r>
          </w:p>
        </w:tc>
        <w:tc>
          <w:tcPr>
            <w:tcW w:type="dxa" w:w="2196"/>
          </w:tcPr>
          <w:p>
            <w:pPr>
              <w:jc w:val="center"/>
            </w:pPr>
            <w:r>
              <w:rPr>
                <w:sz w:val="18"/>
              </w:rPr>
              <w:t>60</w:t>
            </w:r>
          </w:p>
        </w:tc>
        <w:tc>
          <w:tcPr>
            <w:tcW w:type="dxa" w:w="2196"/>
          </w:tcPr>
          <w:p>
            <w:pPr>
              <w:jc w:val="center"/>
            </w:pPr>
            <w:r>
              <w:rPr>
                <w:sz w:val="18"/>
              </w:rPr>
              <w:t>+3.0%</w:t>
            </w:r>
          </w:p>
        </w:tc>
        <w:tc>
          <w:tcPr>
            <w:tcW w:type="dxa" w:w="2196"/>
          </w:tcPr>
          <w:p>
            <w:pPr>
              <w:jc w:val="center"/>
            </w:pPr>
            <w:r>
              <w:rPr>
                <w:sz w:val="18"/>
              </w:rPr>
              <w:t>+8.6%</w:t>
            </w:r>
          </w:p>
        </w:tc>
      </w:tr>
      <w:tr>
        <w:tc>
          <w:tcPr>
            <w:tcW w:type="dxa" w:w="2196"/>
          </w:tcPr>
          <w:p>
            <w:pPr>
              <w:jc w:val="left"/>
            </w:pPr>
            <w:r>
              <w:rPr>
                <w:sz w:val="18"/>
              </w:rPr>
              <w:t>Oct-Dec 2018</w:t>
            </w:r>
          </w:p>
        </w:tc>
        <w:tc>
          <w:tcPr>
            <w:tcW w:type="dxa" w:w="2196"/>
          </w:tcPr>
          <w:p>
            <w:pPr>
              <w:jc w:val="center"/>
            </w:pPr>
            <w:r>
              <w:rPr>
                <w:sz w:val="18"/>
              </w:rPr>
              <w:t>60</w:t>
            </w:r>
          </w:p>
        </w:tc>
        <w:tc>
          <w:tcPr>
            <w:tcW w:type="dxa" w:w="2196"/>
          </w:tcPr>
          <w:p>
            <w:pPr>
              <w:jc w:val="center"/>
            </w:pPr>
            <w:r>
              <w:rPr>
                <w:sz w:val="18"/>
              </w:rPr>
              <w:t>+6.5%</w:t>
            </w:r>
          </w:p>
        </w:tc>
        <w:tc>
          <w:tcPr>
            <w:tcW w:type="dxa" w:w="2196"/>
          </w:tcPr>
          <w:p>
            <w:pPr>
              <w:jc w:val="center"/>
            </w:pPr>
            <w:r>
              <w:rPr>
                <w:sz w:val="18"/>
              </w:rPr>
              <w:t>+19.6%</w:t>
            </w:r>
          </w:p>
        </w:tc>
      </w:tr>
      <w:tr>
        <w:tc>
          <w:tcPr>
            <w:tcW w:type="dxa" w:w="2196"/>
          </w:tcPr>
          <w:p>
            <w:pPr>
              <w:jc w:val="left"/>
            </w:pPr>
            <w:r>
              <w:rPr>
                <w:sz w:val="18"/>
              </w:rPr>
              <w:t>Feb-Apr 2020 (COVID)</w:t>
            </w:r>
          </w:p>
        </w:tc>
        <w:tc>
          <w:tcPr>
            <w:tcW w:type="dxa" w:w="2196"/>
          </w:tcPr>
          <w:p>
            <w:pPr>
              <w:jc w:val="center"/>
            </w:pPr>
            <w:r>
              <w:rPr>
                <w:sz w:val="18"/>
              </w:rPr>
              <w:t>59</w:t>
            </w:r>
          </w:p>
        </w:tc>
        <w:tc>
          <w:tcPr>
            <w:tcW w:type="dxa" w:w="2196"/>
          </w:tcPr>
          <w:p>
            <w:pPr>
              <w:jc w:val="center"/>
            </w:pPr>
            <w:r>
              <w:rPr>
                <w:sz w:val="18"/>
              </w:rPr>
              <w:t>+10.2%</w:t>
            </w:r>
          </w:p>
        </w:tc>
        <w:tc>
          <w:tcPr>
            <w:tcW w:type="dxa" w:w="2196"/>
          </w:tcPr>
          <w:p>
            <w:pPr>
              <w:jc w:val="center"/>
            </w:pPr>
            <w:r>
              <w:rPr>
                <w:sz w:val="18"/>
              </w:rPr>
              <w:t>+20.4%</w:t>
            </w:r>
          </w:p>
        </w:tc>
      </w:tr>
      <w:tr>
        <w:tc>
          <w:tcPr>
            <w:tcW w:type="dxa" w:w="2196"/>
          </w:tcPr>
          <w:p>
            <w:pPr>
              <w:jc w:val="left"/>
            </w:pPr>
            <w:r>
              <w:rPr>
                <w:sz w:val="18"/>
              </w:rPr>
              <w:t>Sep-Nov 2020</w:t>
            </w:r>
          </w:p>
        </w:tc>
        <w:tc>
          <w:tcPr>
            <w:tcW w:type="dxa" w:w="2196"/>
          </w:tcPr>
          <w:p>
            <w:pPr>
              <w:jc w:val="center"/>
            </w:pPr>
            <w:r>
              <w:rPr>
                <w:sz w:val="18"/>
              </w:rPr>
              <w:t>54</w:t>
            </w:r>
          </w:p>
        </w:tc>
        <w:tc>
          <w:tcPr>
            <w:tcW w:type="dxa" w:w="2196"/>
          </w:tcPr>
          <w:p>
            <w:pPr>
              <w:jc w:val="center"/>
            </w:pPr>
            <w:r>
              <w:rPr>
                <w:sz w:val="18"/>
              </w:rPr>
              <w:t>-3.5%</w:t>
            </w:r>
          </w:p>
        </w:tc>
        <w:tc>
          <w:tcPr>
            <w:tcW w:type="dxa" w:w="2196"/>
          </w:tcPr>
          <w:p>
            <w:pPr>
              <w:jc w:val="center"/>
            </w:pPr>
            <w:r>
              <w:rPr>
                <w:sz w:val="18"/>
              </w:rPr>
              <w:t>-11.1%</w:t>
            </w:r>
          </w:p>
        </w:tc>
      </w:tr>
      <w:tr>
        <w:tc>
          <w:tcPr>
            <w:tcW w:type="dxa" w:w="2196"/>
          </w:tcPr>
          <w:p>
            <w:pPr>
              <w:jc w:val="left"/>
            </w:pPr>
            <w:r>
              <w:rPr>
                <w:sz w:val="18"/>
              </w:rPr>
              <w:t>Jan-Mar 2022 (rate hikes)</w:t>
            </w:r>
          </w:p>
        </w:tc>
        <w:tc>
          <w:tcPr>
            <w:tcW w:type="dxa" w:w="2196"/>
          </w:tcPr>
          <w:p>
            <w:pPr>
              <w:jc w:val="center"/>
            </w:pPr>
            <w:r>
              <w:rPr>
                <w:sz w:val="18"/>
              </w:rPr>
              <w:t>57</w:t>
            </w:r>
          </w:p>
        </w:tc>
        <w:tc>
          <w:tcPr>
            <w:tcW w:type="dxa" w:w="2196"/>
          </w:tcPr>
          <w:p>
            <w:pPr>
              <w:jc w:val="center"/>
            </w:pPr>
            <w:r>
              <w:rPr>
                <w:sz w:val="18"/>
              </w:rPr>
              <w:t>-8.6%</w:t>
            </w:r>
          </w:p>
        </w:tc>
        <w:tc>
          <w:tcPr>
            <w:tcW w:type="dxa" w:w="2196"/>
          </w:tcPr>
          <w:p>
            <w:pPr>
              <w:jc w:val="center"/>
            </w:pPr>
            <w:r>
              <w:rPr>
                <w:sz w:val="18"/>
              </w:rPr>
              <w:t>-25.5%</w:t>
            </w:r>
          </w:p>
        </w:tc>
      </w:tr>
      <w:tr>
        <w:tc>
          <w:tcPr>
            <w:tcW w:type="dxa" w:w="2196"/>
          </w:tcPr>
          <w:p>
            <w:pPr>
              <w:jc w:val="left"/>
            </w:pPr>
            <w:r>
              <w:rPr>
                <w:sz w:val="18"/>
              </w:rPr>
              <w:t>Apr-Jun 2022</w:t>
            </w:r>
          </w:p>
        </w:tc>
        <w:tc>
          <w:tcPr>
            <w:tcW w:type="dxa" w:w="2196"/>
          </w:tcPr>
          <w:p>
            <w:pPr>
              <w:jc w:val="center"/>
            </w:pPr>
            <w:r>
              <w:rPr>
                <w:sz w:val="18"/>
              </w:rPr>
              <w:t>58</w:t>
            </w:r>
          </w:p>
        </w:tc>
        <w:tc>
          <w:tcPr>
            <w:tcW w:type="dxa" w:w="2196"/>
          </w:tcPr>
          <w:p>
            <w:pPr>
              <w:jc w:val="center"/>
            </w:pPr>
            <w:r>
              <w:rPr>
                <w:sz w:val="18"/>
              </w:rPr>
              <w:t>-6.8%</w:t>
            </w:r>
          </w:p>
        </w:tc>
        <w:tc>
          <w:tcPr>
            <w:tcW w:type="dxa" w:w="2196"/>
          </w:tcPr>
          <w:p>
            <w:pPr>
              <w:jc w:val="center"/>
            </w:pPr>
            <w:r>
              <w:rPr>
                <w:sz w:val="18"/>
              </w:rPr>
              <w:t>-21.3%</w:t>
            </w:r>
          </w:p>
        </w:tc>
      </w:tr>
      <w:tr>
        <w:tc>
          <w:tcPr>
            <w:tcW w:type="dxa" w:w="2196"/>
          </w:tcPr>
          <w:p>
            <w:pPr>
              <w:jc w:val="left"/>
            </w:pPr>
            <w:r>
              <w:rPr>
                <w:sz w:val="18"/>
              </w:rPr>
              <w:t>Sep-Nov 2022</w:t>
            </w:r>
          </w:p>
        </w:tc>
        <w:tc>
          <w:tcPr>
            <w:tcW w:type="dxa" w:w="2196"/>
          </w:tcPr>
          <w:p>
            <w:pPr>
              <w:jc w:val="center"/>
            </w:pPr>
            <w:r>
              <w:rPr>
                <w:sz w:val="18"/>
              </w:rPr>
              <w:t>56</w:t>
            </w:r>
          </w:p>
        </w:tc>
        <w:tc>
          <w:tcPr>
            <w:tcW w:type="dxa" w:w="2196"/>
          </w:tcPr>
          <w:p>
            <w:pPr>
              <w:jc w:val="center"/>
            </w:pPr>
            <w:r>
              <w:rPr>
                <w:sz w:val="18"/>
              </w:rPr>
              <w:t>-10.1%</w:t>
            </w:r>
          </w:p>
        </w:tc>
        <w:tc>
          <w:tcPr>
            <w:tcW w:type="dxa" w:w="2196"/>
          </w:tcPr>
          <w:p>
            <w:pPr>
              <w:jc w:val="center"/>
            </w:pPr>
            <w:r>
              <w:rPr>
                <w:sz w:val="18"/>
              </w:rPr>
              <w:t>-29.8%</w:t>
            </w:r>
          </w:p>
        </w:tc>
      </w:tr>
      <w:tr>
        <w:tc>
          <w:tcPr>
            <w:tcW w:type="dxa" w:w="2196"/>
          </w:tcPr>
          <w:p>
            <w:pPr>
              <w:jc w:val="left"/>
            </w:pPr>
            <w:r>
              <w:rPr>
                <w:sz w:val="18"/>
              </w:rPr>
              <w:t>Oct-Dec 2023</w:t>
            </w:r>
          </w:p>
        </w:tc>
        <w:tc>
          <w:tcPr>
            <w:tcW w:type="dxa" w:w="2196"/>
          </w:tcPr>
          <w:p>
            <w:pPr>
              <w:jc w:val="center"/>
            </w:pPr>
            <w:r>
              <w:rPr>
                <w:sz w:val="18"/>
              </w:rPr>
              <w:t>49</w:t>
            </w:r>
          </w:p>
        </w:tc>
        <w:tc>
          <w:tcPr>
            <w:tcW w:type="dxa" w:w="2196"/>
          </w:tcPr>
          <w:p>
            <w:pPr>
              <w:jc w:val="center"/>
            </w:pPr>
            <w:r>
              <w:rPr>
                <w:sz w:val="18"/>
              </w:rPr>
              <w:t>+18.1%</w:t>
            </w:r>
          </w:p>
        </w:tc>
        <w:tc>
          <w:tcPr>
            <w:tcW w:type="dxa" w:w="2196"/>
          </w:tcPr>
          <w:p>
            <w:pPr>
              <w:jc w:val="center"/>
            </w:pPr>
            <w:r>
              <w:rPr>
                <w:sz w:val="18"/>
              </w:rPr>
              <w:t>+58.9%</w:t>
            </w:r>
          </w:p>
        </w:tc>
      </w:tr>
      <w:tr>
        <w:tc>
          <w:tcPr>
            <w:tcW w:type="dxa" w:w="2196"/>
          </w:tcPr>
          <w:p>
            <w:pPr>
              <w:jc w:val="left"/>
            </w:pPr>
            <w:r>
              <w:rPr>
                <w:sz w:val="18"/>
              </w:rPr>
              <w:t>Mar-May 2025</w:t>
            </w:r>
          </w:p>
        </w:tc>
        <w:tc>
          <w:tcPr>
            <w:tcW w:type="dxa" w:w="2196"/>
          </w:tcPr>
          <w:p>
            <w:pPr>
              <w:jc w:val="center"/>
            </w:pPr>
            <w:r>
              <w:rPr>
                <w:sz w:val="18"/>
              </w:rPr>
              <w:t>57</w:t>
            </w:r>
          </w:p>
        </w:tc>
        <w:tc>
          <w:tcPr>
            <w:tcW w:type="dxa" w:w="2196"/>
          </w:tcPr>
          <w:p>
            <w:pPr>
              <w:jc w:val="center"/>
            </w:pPr>
            <w:r>
              <w:rPr>
                <w:sz w:val="18"/>
              </w:rPr>
              <w:t>-1.5%</w:t>
            </w:r>
          </w:p>
        </w:tc>
        <w:tc>
          <w:tcPr>
            <w:tcW w:type="dxa" w:w="2196"/>
          </w:tcPr>
          <w:p>
            <w:pPr>
              <w:jc w:val="center"/>
            </w:pPr>
            <w:r>
              <w:rPr>
                <w:sz w:val="18"/>
              </w:rPr>
              <w:t>-7.4%</w:t>
            </w:r>
          </w:p>
        </w:tc>
      </w:tr>
    </w:tbl>
    <w:p/>
    <w:p>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w:t>
      </w:r>
    </w:p>
    <w:p>
      <w:r>
        <w:t>TMF amplifies both sides: +58% during the 2011 debt ceiling, but -30% during the 2022 rate hikes. The 3x leverage turns a useful hedge into a coin flip.</w:t>
      </w:r>
    </w:p>
    <w:p>
      <w:pPr>
        <w:pStyle w:val="Heading2"/>
      </w:pPr>
      <w:r>
        <w:t>The Trade-Off</w:t>
      </w:r>
    </w:p>
    <w:p>
      <w:r>
        <w:t>TLT cash adds roughly 13 percentage points of max drawdown risk (-55% vs -42%) compared to T-bill cash. That's real. The source is 2022: three consecutive cash periods where TLT lost ground instead of providing shelter. In a T-bill world, those periods earned 0-5%. In a TLT world, they lost 8-10% each.</w:t>
      </w:r>
    </w:p>
    <w:p>
      <w:r>
        <w:t>But the risk is bounded. TLT's worst cooling-period return was -10.1% -- painful but not portfolio-threatening. TMF's worst was -29.8% -- genuinely dangerous. The 1x bond position bends during rate hikes; the 3x position breaks.</w:t>
      </w:r>
    </w:p>
    <w:p>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w:t>
      </w:r>
    </w:p>
    <w:p>
      <w:pPr>
        <w:jc w:val="center"/>
      </w:pPr>
      <w:r>
        <w:drawing>
          <wp:inline xmlns:a="http://schemas.openxmlformats.org/drawingml/2006/main" xmlns:pic="http://schemas.openxmlformats.org/drawingml/2006/picture">
            <wp:extent cx="5486400" cy="3267431"/>
            <wp:docPr id="9" name="Picture 9"/>
            <wp:cNvGraphicFramePr>
              <a:graphicFrameLocks noChangeAspect="1"/>
            </wp:cNvGraphicFramePr>
            <a:graphic>
              <a:graphicData uri="http://schemas.openxmlformats.org/drawingml/2006/picture">
                <pic:pic>
                  <pic:nvPicPr>
                    <pic:cNvPr id="0" name="09_bond_cash.png"/>
                    <pic:cNvPicPr/>
                  </pic:nvPicPr>
                  <pic:blipFill>
                    <a:blip r:embed="rId17"/>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TLT (or a money market fund if you prefer the safer variant).</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over 16+ years (~1 per year), this is manageable but real. In an IRA or 401(k), it's a non-issue. In a taxable account, most exits during drawdowns will be at a loss, making them tax-loss harvesting opportunities.</w:t>
      </w:r>
    </w:p>
    <w:p>
      <w:r>
        <w:rPr>
          <w:b/>
        </w:rPr>
        <w:t>Transaction costs.</w:t>
      </w:r>
      <w:r>
        <w:t xml:space="preserve"> At 31 trade signals over 16+ years and $0 commissions at most brokers, costs are negligible.</w:t>
      </w:r>
    </w:p>
    <w:p>
      <w:r>
        <w:rPr>
          <w:b/>
        </w:rPr>
        <w:t>Cash vehicle.</w:t>
      </w:r>
      <w:r>
        <w:t xml:space="preserve"> The baseline backtest uses T-bill rates during cash periods. The TLT variant -- buying long-term Treasuries during cooling periods -- produced the highest Sharpe ratio (0.92) and actually beat buy-and-hold on terminal wealth. See the "What to Do With Idle Cash" section for the full comparison.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Are We Now?</w:t>
      </w:r>
    </w:p>
    <w:p>
      <w:r>
        <w:t>If you had been following the DD25%/Cool40 strategy from UPRO's inception, here's your current position as of March 2,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+66.4% since re-entry.</w:t>
      </w:r>
    </w:p>
    <w:p>
      <w:r>
        <w:t>UPRO's all-time high was $122.23 on January 12, 2026. The current price of $115.32 represents a -5.7% drawdown from that peak -- well within normal volatility and nowhere near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Until then, you hold.</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(0.81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We used actual UPRO prices, so the decay from daily rebalancing is embedded in the data. But over longer periods, 3x daily leverage systematically underperforms 3x the index return. This is a feature of the product, not a modeling error.</w:t>
      </w:r>
    </w:p>
    <w:p>
      <w:r>
        <w:rPr>
          <w:b/>
        </w:rPr>
        <w:t>Price returns vs total returns.</w:t>
      </w:r>
      <w:r>
        <w:t xml:space="preserve"> This analysis uses price returns only (dividends excluded for SPY and related calculations). This is a conservative assumption -- including dividends would modestly improve both the benchmark and timing strategies. UPRO itself targets 3x the daily </w:t>
      </w:r>
      <w:r>
        <w:rPr>
          <w:i/>
        </w:rPr>
        <w:t>price</w:t>
      </w:r>
      <w:r>
        <w:t xml:space="preserve"> return of the S&amp;P 500 (before fees), so this is the appropriate comparison for the UPRO-specific results.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Conclusion</w:t>
      </w:r>
    </w:p>
    <w:p>
      <w:r>
        <w:t>Simple drawdown-triggered exits can meaningfully improve UPRO's risk profile without exotic indicators, frequent trading, or complex portfolio construction. The DD25%/Cool40 rule -- exit at a 25% drawdown, wait 40 trading days before re-entering -- delivered a 0.90 Sharpe ratio while cutting the maximum drawdown from -77% to -42%.</w:t>
      </w:r>
    </w:p>
    <w:p>
      <w:r>
        <w:t>Parking idle cash in TLT during cooling periods pushes the result further: a 0.92 Sharpe ratio, $11.1M terminal wealth (beating buy-and-hold's $10.2M), and a -55% max drawdown. The TLT variant exploits the flight-to-quality effect -- when stocks crash, long-term Treasuries tend to rally -- turning the cooling period from dead time into a productive hedge.</w:t>
      </w:r>
    </w:p>
    <w:p>
      <w:r>
        <w:t>The trade-off is explicit. The T-bill variant caps max drawdown at -42% but gives up 12% of buy-and-hold's terminal wealth. The TLT variant beats buy-and-hold on wealth but accepts a -55% max drawdown. Pick the one that matches your risk tolerance.</w:t>
      </w:r>
    </w:p>
    <w:p>
      <w:r>
        <w:t>Robustness testing supports both variants. A parameter heatmap shows the DD25%/Cool40 parameters sit in a broad region of strong performance, not on a fragile peak. Walk-forward validation (train 2009-2016, test 2017-2026) confirms the approach works out-of-sample. And a synthetic pre-2009 stress test shows the strategy provides modest benefit even through the worst decade in modern market history.</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 am long SPY (5,000+ shares across multiple accounts) and hold deep in-the-money SPY and QQQ LEAPS calls. I do not hold UPRO.</w:t>
      </w:r>
    </w:p>
    <w:p>
      <w:r>
        <w:rPr>
          <w:i/>
          <w:color w:val="666666"/>
          <w:sz w:val="20"/>
        </w:rPr>
        <w:t>The analysis uses historical data from June 2009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