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~$9.5M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0.85 Sharpe ratio (vs 0.77 for UPRO buy-and-hold and 0.81 for plain SPY) and cut the maximum drawdown from -77% to -42%, at the cost of about 12% less terminal wealth. Walk-forward validation, parameter heatmaps, and a synthetic pre-2009 stress test suggest the parameters are not a fragile optimum, but block-bootstrap analysis shows the Sharpe advantage depends materially on the sequencing of returns -- making this a useful practical overlay for recent-style regimes, not a universal improvement.</w:t>
      </w:r>
    </w:p>
    <w:p>
      <w:pPr>
        <w:pStyle w:val="ListBullet"/>
      </w:pPr>
      <w:r>
        <w:t>An enhancement: parking idle cash in TLT (long-term Treasuries) instead of T-bills during cooling periods pushes the Sharpe to 0.88 and terminal wealth to $10.4M -- actually beating UPRO buy-and-hold -- by harvesting flight-to-quality rallies when stocks crash. Block-bootstrap analysis confirms TLT's Sharpe advantage is robust: median bootstrapped Sharpe of 0.92 vs 0.89 for T-bill cash.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$9.5 million, a 31.4%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 CAGR turns $100K into nearly 100x in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pPr>
        <w:pStyle w:val="ListBullet"/>
      </w:pPr>
      <w:r>
        <w:rPr>
          <w:b/>
        </w:rPr>
        <w:t>No intraday stops:</w:t>
      </w:r>
      <w:r>
        <w:t xml:space="preserve"> All signals are end-of-day close-based. No intraday monitoring is required. All-time highs and drawdowns are measured on closing prices, not intraday.</w:t>
      </w:r>
    </w:p>
    <w:p>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$9,530,442</w:t>
            </w:r>
          </w:p>
        </w:tc>
      </w:tr>
      <w:tr>
        <w:tc>
          <w:tcPr>
            <w:tcW w:type="dxa" w:w="4392"/>
          </w:tcPr>
          <w:p>
            <w:pPr>
              <w:jc w:val="left"/>
            </w:pPr>
            <w:r>
              <w:rPr>
                <w:sz w:val="18"/>
              </w:rPr>
              <w:t>CAGR</w:t>
            </w:r>
          </w:p>
        </w:tc>
        <w:tc>
          <w:tcPr>
            <w:tcW w:type="dxa" w:w="4392"/>
          </w:tcPr>
          <w:p>
            <w:pPr>
              <w:jc w:val="center"/>
            </w:pPr>
            <w:r>
              <w:rPr>
                <w:sz w:val="18"/>
              </w:rPr>
              <w:t>+31.4%</w:t>
            </w:r>
          </w:p>
        </w:tc>
      </w:tr>
      <w:tr>
        <w:tc>
          <w:tcPr>
            <w:tcW w:type="dxa" w:w="4392"/>
          </w:tcPr>
          <w:p>
            <w:pPr>
              <w:jc w:val="left"/>
            </w:pPr>
            <w:r>
              <w:rPr>
                <w:sz w:val="18"/>
              </w:rPr>
              <w:t>Sharpe Ratio</w:t>
            </w:r>
          </w:p>
        </w:tc>
        <w:tc>
          <w:tcPr>
            <w:tcW w:type="dxa" w:w="4392"/>
          </w:tcPr>
          <w:p>
            <w:pPr>
              <w:jc w:val="center"/>
            </w:pPr>
            <w:r>
              <w:rPr>
                <w:sz w:val="18"/>
              </w:rPr>
              <w:t>0.77</w:t>
            </w:r>
          </w:p>
        </w:tc>
      </w:tr>
      <w:tr>
        <w:tc>
          <w:tcPr>
            <w:tcW w:type="dxa" w:w="4392"/>
          </w:tcPr>
          <w:p>
            <w:pPr>
              <w:jc w:val="left"/>
            </w:pPr>
            <w:r>
              <w:rPr>
                <w:sz w:val="18"/>
              </w:rPr>
              <w:t>Sortino Ratio</w:t>
            </w:r>
          </w:p>
        </w:tc>
        <w:tc>
          <w:tcPr>
            <w:tcW w:type="dxa" w:w="4392"/>
          </w:tcPr>
          <w:p>
            <w:pPr>
              <w:jc w:val="center"/>
            </w:pPr>
            <w:r>
              <w:rPr>
                <w:sz w:val="18"/>
              </w:rPr>
              <w:t>0.95</w:t>
            </w:r>
          </w:p>
        </w:tc>
      </w:tr>
      <w:tr>
        <w:tc>
          <w:tcPr>
            <w:tcW w:type="dxa" w:w="4392"/>
          </w:tcPr>
          <w:p>
            <w:pPr>
              <w:jc w:val="left"/>
            </w:pPr>
            <w:r>
              <w:rPr>
                <w:sz w:val="18"/>
              </w:rPr>
              <w:t>Calmar Ratio</w:t>
            </w:r>
          </w:p>
        </w:tc>
        <w:tc>
          <w:tcPr>
            <w:tcW w:type="dxa" w:w="4392"/>
          </w:tcPr>
          <w:p>
            <w:pPr>
              <w:jc w:val="center"/>
            </w:pPr>
            <w:r>
              <w:rPr>
                <w:sz w:val="18"/>
              </w:rPr>
              <w:t>0.39</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With T-bill cash, no timing strategy in this analysis matches buy-and-hold on total return -- though as I show later, parking idle cash in TLT during cooling periods does beat it. If maximizing terminal wealth is your only goal and you have the iron stomach to hold through a -77% drawdown -- and I mean genuinely hold, not just say you would in a hypothetical -- then buy-and-hold is hard to beat. (For comparison, plain SPY buy-and-hold over the same period has a 0.81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 the run from March 2009 to February 2020, roughly 131 months before it ended with the COVID crash.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 (The 6% margin rate reflects a competitive retail broker rate. Interactive Brokers, the industry's cheapest, currently charges roughly 5-6% all-in depending on account type and balance tier. Most retail brokers charge 8-12%. The all-in rate is the broker's spread over the prevailing benchmark rate, not the spread alone.)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$983,169</w:t>
            </w:r>
          </w:p>
        </w:tc>
        <w:tc>
          <w:tcPr>
            <w:tcW w:type="dxa" w:w="1464"/>
          </w:tcPr>
          <w:p>
            <w:pPr>
              <w:jc w:val="center"/>
            </w:pPr>
            <w:r>
              <w:rPr>
                <w:sz w:val="18"/>
              </w:rPr>
              <w:t>+14.7%</w:t>
            </w:r>
          </w:p>
        </w:tc>
        <w:tc>
          <w:tcPr>
            <w:tcW w:type="dxa" w:w="1464"/>
          </w:tcPr>
          <w:p>
            <w:pPr>
              <w:jc w:val="center"/>
            </w:pPr>
            <w:r>
              <w:rPr>
                <w:sz w:val="18"/>
              </w:rPr>
              <w:t>0.81</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$21,250,484</w:t>
            </w:r>
          </w:p>
        </w:tc>
        <w:tc>
          <w:tcPr>
            <w:tcW w:type="dxa" w:w="1464"/>
          </w:tcPr>
          <w:p>
            <w:pPr>
              <w:jc w:val="center"/>
            </w:pPr>
            <w:r>
              <w:rPr>
                <w:sz w:val="18"/>
              </w:rPr>
              <w:t>+37.9%</w:t>
            </w:r>
          </w:p>
        </w:tc>
        <w:tc>
          <w:tcPr>
            <w:tcW w:type="dxa" w:w="1464"/>
          </w:tcPr>
          <w:p>
            <w:pPr>
              <w:jc w:val="center"/>
            </w:pPr>
            <w:r>
              <w:rPr>
                <w:sz w:val="18"/>
              </w:rPr>
              <w:t>0.86</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$2,880,158</w:t>
            </w:r>
          </w:p>
        </w:tc>
        <w:tc>
          <w:tcPr>
            <w:tcW w:type="dxa" w:w="1464"/>
          </w:tcPr>
          <w:p>
            <w:pPr>
              <w:jc w:val="center"/>
            </w:pPr>
            <w:r>
              <w:rPr>
                <w:sz w:val="18"/>
              </w:rPr>
              <w:t>+22.3%</w:t>
            </w:r>
          </w:p>
        </w:tc>
        <w:tc>
          <w:tcPr>
            <w:tcW w:type="dxa" w:w="1464"/>
          </w:tcPr>
          <w:p>
            <w:pPr>
              <w:jc w:val="center"/>
            </w:pPr>
            <w:r>
              <w:rPr>
                <w:sz w:val="18"/>
              </w:rPr>
              <w:t>0.63</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$2,406,044</w:t>
            </w:r>
          </w:p>
        </w:tc>
        <w:tc>
          <w:tcPr>
            <w:tcW w:type="dxa" w:w="1464"/>
          </w:tcPr>
          <w:p>
            <w:pPr>
              <w:jc w:val="center"/>
            </w:pPr>
            <w:r>
              <w:rPr>
                <w:sz w:val="18"/>
              </w:rPr>
              <w:t>+21.0%</w:t>
            </w:r>
          </w:p>
        </w:tc>
        <w:tc>
          <w:tcPr>
            <w:tcW w:type="dxa" w:w="1464"/>
          </w:tcPr>
          <w:p>
            <w:pPr>
              <w:jc w:val="center"/>
            </w:pPr>
            <w:r>
              <w:rPr>
                <w:sz w:val="18"/>
              </w:rPr>
              <w:t>0.75</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$9,530,442</w:t>
            </w:r>
          </w:p>
        </w:tc>
        <w:tc>
          <w:tcPr>
            <w:tcW w:type="dxa" w:w="1464"/>
          </w:tcPr>
          <w:p>
            <w:pPr>
              <w:jc w:val="center"/>
            </w:pPr>
            <w:r>
              <w:rPr>
                <w:sz w:val="18"/>
              </w:rPr>
              <w:t>+31.4%</w:t>
            </w:r>
          </w:p>
        </w:tc>
        <w:tc>
          <w:tcPr>
            <w:tcW w:type="dxa" w:w="1464"/>
          </w:tcPr>
          <w:p>
            <w:pPr>
              <w:jc w:val="center"/>
            </w:pPr>
            <w:r>
              <w:rPr>
                <w:sz w:val="18"/>
              </w:rPr>
              <w:t>0.77</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$21.3M vs UPRO's $9.5M. That $11.8M gap is the cumulative cost of UPRO's 0.89% expense ratio, rebalancing slippage, and tracking error over 16+ years. Yet UPRO still crushes margin-based leverage ($2.9M for daily-rebalanced, $2.4M for static) because its embedded borrowing costs are far lower than retail margin rates -- even at the cheapest broker available.</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w:t>
      </w:r>
    </w:p>
    <w:p>
      <w:r>
        <w:t xml:space="preserve">The full 1950-2026 case is the most instructive. Despite the S&amp;P 500 compounding at +8.2% annually for 76 years, the static 3x account got margin-called during the 1973-74 bear market -- </w:t>
      </w:r>
      <w:r>
        <w:rPr>
          <w:i/>
        </w:rPr>
        <w:t>24 years</w:t>
      </w:r>
      <w:r>
        <w:t xml:space="preserve"> after inception. Here's how: the initial $200K loan compounds at 6% annually, growing to approximately $875K by 1974. Meanwhile, the S&amp;P rose from 17 to a peak of ~120 before crashing to ~64 during the 1973-74 bear market. The account's peak equity reached $1.37M, but by the time the S&amp;P had dropped ~47%, the position value ($1.14M) minus the swollen debt ($875K) left only $269K in equity -- below the 25% maintenance requirement on the position. The margin call fires, the position is liquidated, and the account sits in cash for the remaining 52 years while unlevered S&amp;P 500 grew to $41.3 million. The lesson: even massive accumulated gains cannot overcome the slow poison of compounding interest on a static loan when a severe bear market eventually arrives.</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(2000-2009),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 During the test period (June 2009 to March 2026), VIX ranged from 9 to 83, with a median of 17 and a mean of 19. The 25th percentile was 14, the 75th percentile was 22, and VIX spent 86% of trading days below 25.</w:t>
      </w:r>
    </w:p>
    <w:p>
      <w:r>
        <w:t>The problem is that VIX is reactive, not predictive. By the time VIX spikes above 25 (which happens only 14% of trading days), you've already taken the first leg of the drawdown. And VIX often stays elevated during the early stages of recovery, causing you to miss the bounce.</w:t>
      </w:r>
    </w:p>
    <w:p>
      <w:r>
        <w:t>The best VIX variant (VIX &lt; 30) produced a $4.0M end value with a 0.71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$570K. CAGR: +11.0%. Sharpe: 0.45.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$3.2M. CAGR: +23.1%. Sharpe: 0.82. Sortino: 1.07. Max drawdown: -70.5%. The 67 "trades" are quarterly rebalancing events (adjusting the 55/45 allocation every ~63 trading days), not round-trip trades.</w:t>
      </w:r>
    </w:p>
    <w:p>
      <w:r>
        <w:t>HFEA has the best Sortino ratio among the five base strategies (1.07) -- meaning it handles downside volatility particularly well relative to its upside. (The DD25%/Cool40+TLT variant introduced later edges it at 1.12.)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$649K</w:t>
            </w:r>
          </w:p>
        </w:tc>
        <w:tc>
          <w:tcPr>
            <w:tcW w:type="dxa" w:w="1255"/>
          </w:tcPr>
          <w:p>
            <w:pPr>
              <w:jc w:val="center"/>
            </w:pPr>
            <w:r>
              <w:rPr>
                <w:sz w:val="18"/>
              </w:rPr>
              <w:t>+11.9%</w:t>
            </w:r>
          </w:p>
        </w:tc>
        <w:tc>
          <w:tcPr>
            <w:tcW w:type="dxa" w:w="1255"/>
          </w:tcPr>
          <w:p>
            <w:pPr>
              <w:jc w:val="center"/>
            </w:pPr>
            <w:r>
              <w:rPr>
                <w:sz w:val="18"/>
              </w:rPr>
              <w:t>0.46</w:t>
            </w:r>
          </w:p>
        </w:tc>
        <w:tc>
          <w:tcPr>
            <w:tcW w:type="dxa" w:w="1255"/>
          </w:tcPr>
          <w:p>
            <w:pPr>
              <w:jc w:val="center"/>
            </w:pPr>
            <w:r>
              <w:rPr>
                <w:sz w:val="18"/>
              </w:rPr>
              <w:t>-55.9%</w:t>
            </w:r>
          </w:p>
        </w:tc>
        <w:tc>
          <w:tcPr>
            <w:tcW w:type="dxa" w:w="1255"/>
          </w:tcPr>
          <w:p>
            <w:pPr>
              <w:jc w:val="center"/>
            </w:pPr>
            <w:r>
              <w:rPr>
                <w:sz w:val="18"/>
              </w:rPr>
              <w:t>156</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$1.9M</w:t>
            </w:r>
          </w:p>
        </w:tc>
        <w:tc>
          <w:tcPr>
            <w:tcW w:type="dxa" w:w="1255"/>
          </w:tcPr>
          <w:p>
            <w:pPr>
              <w:jc w:val="center"/>
            </w:pPr>
            <w:r>
              <w:rPr>
                <w:sz w:val="18"/>
              </w:rPr>
              <w:t>+19.3%</w:t>
            </w:r>
          </w:p>
        </w:tc>
        <w:tc>
          <w:tcPr>
            <w:tcW w:type="dxa" w:w="1255"/>
          </w:tcPr>
          <w:p>
            <w:pPr>
              <w:jc w:val="center"/>
            </w:pPr>
            <w:r>
              <w:rPr>
                <w:sz w:val="18"/>
              </w:rPr>
              <w:t>0.70</w:t>
            </w:r>
          </w:p>
        </w:tc>
        <w:tc>
          <w:tcPr>
            <w:tcW w:type="dxa" w:w="1255"/>
          </w:tcPr>
          <w:p>
            <w:pPr>
              <w:jc w:val="center"/>
            </w:pPr>
            <w:r>
              <w:rPr>
                <w:sz w:val="18"/>
              </w:rPr>
              <w:t>-52.4%</w:t>
            </w:r>
          </w:p>
        </w:tc>
        <w:tc>
          <w:tcPr>
            <w:tcW w:type="dxa" w:w="1255"/>
          </w:tcPr>
          <w:p>
            <w:pPr>
              <w:jc w:val="center"/>
            </w:pPr>
            <w:r>
              <w:rPr>
                <w:sz w:val="18"/>
              </w:rPr>
              <w:t>120</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$1.5M</w:t>
            </w:r>
          </w:p>
        </w:tc>
        <w:tc>
          <w:tcPr>
            <w:tcW w:type="dxa" w:w="1255"/>
          </w:tcPr>
          <w:p>
            <w:pPr>
              <w:jc w:val="center"/>
            </w:pPr>
            <w:r>
              <w:rPr>
                <w:sz w:val="18"/>
              </w:rPr>
              <w:t>+17.4%</w:t>
            </w:r>
          </w:p>
        </w:tc>
        <w:tc>
          <w:tcPr>
            <w:tcW w:type="dxa" w:w="1255"/>
          </w:tcPr>
          <w:p>
            <w:pPr>
              <w:jc w:val="center"/>
            </w:pPr>
            <w:r>
              <w:rPr>
                <w:sz w:val="18"/>
              </w:rPr>
              <w:t>0.68</w:t>
            </w:r>
          </w:p>
        </w:tc>
        <w:tc>
          <w:tcPr>
            <w:tcW w:type="dxa" w:w="1255"/>
          </w:tcPr>
          <w:p>
            <w:pPr>
              <w:jc w:val="center"/>
            </w:pPr>
            <w:r>
              <w:rPr>
                <w:sz w:val="18"/>
              </w:rPr>
              <w:t>-45.1%</w:t>
            </w:r>
          </w:p>
        </w:tc>
        <w:tc>
          <w:tcPr>
            <w:tcW w:type="dxa" w:w="1255"/>
          </w:tcPr>
          <w:p>
            <w:pPr>
              <w:jc w:val="center"/>
            </w:pPr>
            <w:r>
              <w:rPr>
                <w:sz w:val="18"/>
              </w:rPr>
              <w:t>104</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$1.4M</w:t>
            </w:r>
          </w:p>
        </w:tc>
        <w:tc>
          <w:tcPr>
            <w:tcW w:type="dxa" w:w="1255"/>
          </w:tcPr>
          <w:p>
            <w:pPr>
              <w:jc w:val="center"/>
            </w:pPr>
            <w:r>
              <w:rPr>
                <w:sz w:val="18"/>
              </w:rPr>
              <w:t>+17.1%</w:t>
            </w:r>
          </w:p>
        </w:tc>
        <w:tc>
          <w:tcPr>
            <w:tcW w:type="dxa" w:w="1255"/>
          </w:tcPr>
          <w:p>
            <w:pPr>
              <w:jc w:val="center"/>
            </w:pPr>
            <w:r>
              <w:rPr>
                <w:sz w:val="18"/>
              </w:rPr>
              <w:t>0.57</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$1.8M</w:t>
            </w:r>
          </w:p>
        </w:tc>
        <w:tc>
          <w:tcPr>
            <w:tcW w:type="dxa" w:w="1255"/>
          </w:tcPr>
          <w:p>
            <w:pPr>
              <w:jc w:val="center"/>
            </w:pPr>
            <w:r>
              <w:rPr>
                <w:sz w:val="18"/>
              </w:rPr>
              <w:t>+19.1%</w:t>
            </w:r>
          </w:p>
        </w:tc>
        <w:tc>
          <w:tcPr>
            <w:tcW w:type="dxa" w:w="1255"/>
          </w:tcPr>
          <w:p>
            <w:pPr>
              <w:jc w:val="center"/>
            </w:pPr>
            <w:r>
              <w:rPr>
                <w:sz w:val="18"/>
              </w:rPr>
              <w:t>0.64</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$414K</w:t>
            </w:r>
          </w:p>
        </w:tc>
        <w:tc>
          <w:tcPr>
            <w:tcW w:type="dxa" w:w="1255"/>
          </w:tcPr>
          <w:p>
            <w:pPr>
              <w:jc w:val="center"/>
            </w:pPr>
            <w:r>
              <w:rPr>
                <w:sz w:val="18"/>
              </w:rPr>
              <w:t>+8.9%</w:t>
            </w:r>
          </w:p>
        </w:tc>
        <w:tc>
          <w:tcPr>
            <w:tcW w:type="dxa" w:w="1255"/>
          </w:tcPr>
          <w:p>
            <w:pPr>
              <w:jc w:val="center"/>
            </w:pPr>
            <w:r>
              <w:rPr>
                <w:sz w:val="18"/>
              </w:rPr>
              <w:t>0.39</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$9.3M</w:t>
            </w:r>
          </w:p>
        </w:tc>
        <w:tc>
          <w:tcPr>
            <w:tcW w:type="dxa" w:w="1255"/>
          </w:tcPr>
          <w:p>
            <w:pPr>
              <w:jc w:val="center"/>
            </w:pPr>
            <w:r>
              <w:rPr>
                <w:sz w:val="18"/>
              </w:rPr>
              <w:t>+31.2%</w:t>
            </w:r>
          </w:p>
        </w:tc>
        <w:tc>
          <w:tcPr>
            <w:tcW w:type="dxa" w:w="1255"/>
          </w:tcPr>
          <w:p>
            <w:pPr>
              <w:jc w:val="center"/>
            </w:pPr>
            <w:r>
              <w:rPr>
                <w:sz w:val="18"/>
              </w:rPr>
              <w:t>0.84</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$3.8M</w:t>
            </w:r>
          </w:p>
        </w:tc>
        <w:tc>
          <w:tcPr>
            <w:tcW w:type="dxa" w:w="1255"/>
          </w:tcPr>
          <w:p>
            <w:pPr>
              <w:jc w:val="center"/>
            </w:pPr>
            <w:r>
              <w:rPr>
                <w:sz w:val="18"/>
              </w:rPr>
              <w:t>+24.3%</w:t>
            </w:r>
          </w:p>
        </w:tc>
        <w:tc>
          <w:tcPr>
            <w:tcW w:type="dxa" w:w="1255"/>
          </w:tcPr>
          <w:p>
            <w:pPr>
              <w:jc w:val="center"/>
            </w:pPr>
            <w:r>
              <w:rPr>
                <w:sz w:val="18"/>
              </w:rPr>
              <w:t>0.74</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$863K</w:t>
            </w:r>
          </w:p>
        </w:tc>
        <w:tc>
          <w:tcPr>
            <w:tcW w:type="dxa" w:w="1255"/>
          </w:tcPr>
          <w:p>
            <w:pPr>
              <w:jc w:val="center"/>
            </w:pPr>
            <w:r>
              <w:rPr>
                <w:sz w:val="18"/>
              </w:rPr>
              <w:t>+13.8%</w:t>
            </w:r>
          </w:p>
        </w:tc>
        <w:tc>
          <w:tcPr>
            <w:tcW w:type="dxa" w:w="1255"/>
          </w:tcPr>
          <w:p>
            <w:pPr>
              <w:jc w:val="center"/>
            </w:pPr>
            <w:r>
              <w:rPr>
                <w:sz w:val="18"/>
              </w:rPr>
              <w:t>0.52</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$9.4M</w:t>
            </w:r>
          </w:p>
        </w:tc>
        <w:tc>
          <w:tcPr>
            <w:tcW w:type="dxa" w:w="1255"/>
          </w:tcPr>
          <w:p>
            <w:pPr>
              <w:jc w:val="center"/>
            </w:pPr>
            <w:r>
              <w:rPr>
                <w:sz w:val="18"/>
              </w:rPr>
              <w:t>+31.3%</w:t>
            </w:r>
          </w:p>
        </w:tc>
        <w:tc>
          <w:tcPr>
            <w:tcW w:type="dxa" w:w="1255"/>
          </w:tcPr>
          <w:p>
            <w:pPr>
              <w:jc w:val="center"/>
            </w:pPr>
            <w:r>
              <w:rPr>
                <w:sz w:val="18"/>
              </w:rPr>
              <w:t>0.82</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$1.9M</w:t>
            </w:r>
          </w:p>
        </w:tc>
        <w:tc>
          <w:tcPr>
            <w:tcW w:type="dxa" w:w="1255"/>
          </w:tcPr>
          <w:p>
            <w:pPr>
              <w:jc w:val="center"/>
            </w:pPr>
            <w:r>
              <w:rPr>
                <w:sz w:val="18"/>
              </w:rPr>
              <w:t>+19.4%</w:t>
            </w:r>
          </w:p>
        </w:tc>
        <w:tc>
          <w:tcPr>
            <w:tcW w:type="dxa" w:w="1255"/>
          </w:tcPr>
          <w:p>
            <w:pPr>
              <w:jc w:val="center"/>
            </w:pPr>
            <w:r>
              <w:rPr>
                <w:sz w:val="18"/>
              </w:rPr>
              <w:t>0.64</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$414K end value is dramatically worse than nearby variants ($1.8M for DD15%/Cool40, $1.4M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0.74.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r>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r>
        <w:t xml:space="preserve">The trade-off is explicit: you give up about $1.1 million in terminal wealth (12% of buy-and-hold's end value) in exchange for a maximum drawdown that's </w:t>
      </w:r>
      <w:r>
        <w:rPr>
          <w:b/>
        </w:rPr>
        <w:t>35 percentage points better</w:t>
      </w:r>
      <w:r>
        <w:t xml:space="preserve"> (-41.8% vs -76.8%). The Sharpe ratio improved from 0.77 to 0.85 over this test period. 31 trade signals (~15 round trips) over 16+ years.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$1.1M end value, +15.5% CAGR, 0.55 Sharpe, -61.1% max DD. Composite 3-of-3: $836K, +13.6% CAGR, 0.55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$9.5M</w:t>
            </w:r>
          </w:p>
        </w:tc>
        <w:tc>
          <w:tcPr>
            <w:tcW w:type="dxa" w:w="1255"/>
          </w:tcPr>
          <w:p>
            <w:pPr>
              <w:jc w:val="center"/>
            </w:pPr>
            <w:r>
              <w:rPr>
                <w:b/>
                <w:sz w:val="18"/>
              </w:rPr>
              <w:t>+31.4%</w:t>
            </w:r>
          </w:p>
        </w:tc>
        <w:tc>
          <w:tcPr>
            <w:tcW w:type="dxa" w:w="1255"/>
          </w:tcPr>
          <w:p>
            <w:pPr>
              <w:jc w:val="center"/>
            </w:pPr>
            <w:r>
              <w:rPr>
                <w:b/>
                <w:sz w:val="18"/>
              </w:rPr>
              <w:t>0.77</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0.71</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$570K</w:t>
            </w:r>
          </w:p>
        </w:tc>
        <w:tc>
          <w:tcPr>
            <w:tcW w:type="dxa" w:w="1255"/>
          </w:tcPr>
          <w:p>
            <w:pPr>
              <w:jc w:val="center"/>
            </w:pPr>
            <w:r>
              <w:rPr>
                <w:sz w:val="18"/>
              </w:rPr>
              <w:t>+11.0%</w:t>
            </w:r>
          </w:p>
        </w:tc>
        <w:tc>
          <w:tcPr>
            <w:tcW w:type="dxa" w:w="1255"/>
          </w:tcPr>
          <w:p>
            <w:pPr>
              <w:jc w:val="center"/>
            </w:pPr>
            <w:r>
              <w:rPr>
                <w:sz w:val="18"/>
              </w:rPr>
              <w:t>0.45</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$3.2M</w:t>
            </w:r>
          </w:p>
        </w:tc>
        <w:tc>
          <w:tcPr>
            <w:tcW w:type="dxa" w:w="1255"/>
          </w:tcPr>
          <w:p>
            <w:pPr>
              <w:jc w:val="center"/>
            </w:pPr>
            <w:r>
              <w:rPr>
                <w:sz w:val="18"/>
              </w:rPr>
              <w:t>+23.1%</w:t>
            </w:r>
          </w:p>
        </w:tc>
        <w:tc>
          <w:tcPr>
            <w:tcW w:type="dxa" w:w="1255"/>
          </w:tcPr>
          <w:p>
            <w:pPr>
              <w:jc w:val="center"/>
            </w:pPr>
            <w:r>
              <w:rPr>
                <w:sz w:val="18"/>
              </w:rPr>
              <w:t>0.82</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$1.1M</w:t>
            </w:r>
          </w:p>
        </w:tc>
        <w:tc>
          <w:tcPr>
            <w:tcW w:type="dxa" w:w="1255"/>
          </w:tcPr>
          <w:p>
            <w:pPr>
              <w:jc w:val="center"/>
            </w:pPr>
            <w:r>
              <w:rPr>
                <w:sz w:val="18"/>
              </w:rPr>
              <w:t>+15.5%</w:t>
            </w:r>
          </w:p>
        </w:tc>
        <w:tc>
          <w:tcPr>
            <w:tcW w:type="dxa" w:w="1255"/>
          </w:tcPr>
          <w:p>
            <w:pPr>
              <w:jc w:val="center"/>
            </w:pPr>
            <w:r>
              <w:rPr>
                <w:sz w:val="18"/>
              </w:rPr>
              <w:t>0.55</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by 35 percentage points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(0.82)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0.85 Sharpe sits at the peak of a broad green plateau. Adjacent cells DD20-25%/Cool20-40 all produce Sharpe ratios above 0.74. You can shift the threshold by 5 percentage points or the cooling period by 10 days in either direction and still get strong risk-adjusted performance. This is not a fragile optimum -- it's a broad plateau of strong performance within this test period.</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29.5% CAGR, 0.74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+29.5%</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0.74</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20.9% CAGR vs 20.6% CAGR, with a 0.61 Sharpe vs 0.57.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-0.08</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-0.27</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$49.1M</w:t>
            </w:r>
          </w:p>
        </w:tc>
        <w:tc>
          <w:tcPr>
            <w:tcW w:type="dxa" w:w="1464"/>
          </w:tcPr>
          <w:p>
            <w:pPr>
              <w:jc w:val="center"/>
            </w:pPr>
            <w:r>
              <w:rPr>
                <w:sz w:val="18"/>
              </w:rPr>
              <w:t>+20.6%</w:t>
            </w:r>
          </w:p>
        </w:tc>
        <w:tc>
          <w:tcPr>
            <w:tcW w:type="dxa" w:w="1464"/>
          </w:tcPr>
          <w:p>
            <w:pPr>
              <w:jc w:val="center"/>
            </w:pPr>
            <w:r>
              <w:rPr>
                <w:sz w:val="18"/>
              </w:rPr>
              <w:t>0.57</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$53.4M</w:t>
            </w:r>
          </w:p>
        </w:tc>
        <w:tc>
          <w:tcPr>
            <w:tcW w:type="dxa" w:w="1464"/>
          </w:tcPr>
          <w:p>
            <w:pPr>
              <w:jc w:val="center"/>
            </w:pPr>
            <w:r>
              <w:rPr>
                <w:sz w:val="18"/>
              </w:rPr>
              <w:t>+20.9%</w:t>
            </w:r>
          </w:p>
        </w:tc>
        <w:tc>
          <w:tcPr>
            <w:tcW w:type="dxa" w:w="1464"/>
          </w:tcPr>
          <w:p>
            <w:pPr>
              <w:jc w:val="center"/>
            </w:pPr>
            <w:r>
              <w:rPr>
                <w:sz w:val="18"/>
              </w:rPr>
              <w:t>0.61</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$8.4M</w:t>
            </w:r>
          </w:p>
        </w:tc>
        <w:tc>
          <w:tcPr>
            <w:tcW w:type="dxa" w:w="1757"/>
          </w:tcPr>
          <w:p>
            <w:pPr>
              <w:jc w:val="center"/>
            </w:pPr>
            <w:r>
              <w:rPr>
                <w:sz w:val="18"/>
              </w:rPr>
              <w:t>+30.5%</w:t>
            </w:r>
          </w:p>
        </w:tc>
        <w:tc>
          <w:tcPr>
            <w:tcW w:type="dxa" w:w="1757"/>
          </w:tcPr>
          <w:p>
            <w:pPr>
              <w:jc w:val="center"/>
            </w:pPr>
            <w:r>
              <w:rPr>
                <w:sz w:val="18"/>
              </w:rPr>
              <w:t>0.85</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$4.3M</w:t>
            </w:r>
          </w:p>
        </w:tc>
        <w:tc>
          <w:tcPr>
            <w:tcW w:type="dxa" w:w="1757"/>
          </w:tcPr>
          <w:p>
            <w:pPr>
              <w:jc w:val="center"/>
            </w:pPr>
            <w:r>
              <w:rPr>
                <w:sz w:val="18"/>
              </w:rPr>
              <w:t>+25.3%</w:t>
            </w:r>
          </w:p>
        </w:tc>
        <w:tc>
          <w:tcPr>
            <w:tcW w:type="dxa" w:w="1757"/>
          </w:tcPr>
          <w:p>
            <w:pPr>
              <w:jc w:val="center"/>
            </w:pPr>
            <w:r>
              <w:rPr>
                <w:sz w:val="18"/>
              </w:rPr>
              <w:t>0.76</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$2.1M</w:t>
            </w:r>
          </w:p>
        </w:tc>
        <w:tc>
          <w:tcPr>
            <w:tcW w:type="dxa" w:w="1757"/>
          </w:tcPr>
          <w:p>
            <w:pPr>
              <w:jc w:val="center"/>
            </w:pPr>
            <w:r>
              <w:rPr>
                <w:sz w:val="18"/>
              </w:rPr>
              <w:t>+20.2%</w:t>
            </w:r>
          </w:p>
        </w:tc>
        <w:tc>
          <w:tcPr>
            <w:tcW w:type="dxa" w:w="1757"/>
          </w:tcPr>
          <w:p>
            <w:pPr>
              <w:jc w:val="center"/>
            </w:pPr>
            <w:r>
              <w:rPr>
                <w:sz w:val="18"/>
              </w:rPr>
              <w:t>0.65</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$1.5M</w:t>
            </w:r>
          </w:p>
        </w:tc>
        <w:tc>
          <w:tcPr>
            <w:tcW w:type="dxa" w:w="1757"/>
          </w:tcPr>
          <w:p>
            <w:pPr>
              <w:jc w:val="center"/>
            </w:pPr>
            <w:r>
              <w:rPr>
                <w:sz w:val="18"/>
              </w:rPr>
              <w:t>+17.7%</w:t>
            </w:r>
          </w:p>
        </w:tc>
        <w:tc>
          <w:tcPr>
            <w:tcW w:type="dxa" w:w="1757"/>
          </w:tcPr>
          <w:p>
            <w:pPr>
              <w:jc w:val="center"/>
            </w:pPr>
            <w:r>
              <w:rPr>
                <w:sz w:val="18"/>
              </w:rPr>
              <w:t>0.60</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$2.6M</w:t>
            </w:r>
          </w:p>
        </w:tc>
        <w:tc>
          <w:tcPr>
            <w:tcW w:type="dxa" w:w="1255"/>
          </w:tcPr>
          <w:p>
            <w:pPr>
              <w:jc w:val="center"/>
            </w:pPr>
            <w:r>
              <w:rPr>
                <w:sz w:val="18"/>
              </w:rPr>
              <w:t>+21.5%</w:t>
            </w:r>
          </w:p>
        </w:tc>
        <w:tc>
          <w:tcPr>
            <w:tcW w:type="dxa" w:w="1255"/>
          </w:tcPr>
          <w:p>
            <w:pPr>
              <w:jc w:val="center"/>
            </w:pPr>
            <w:r>
              <w:rPr>
                <w:sz w:val="18"/>
              </w:rPr>
              <w:t>0.72</w:t>
            </w:r>
          </w:p>
        </w:tc>
        <w:tc>
          <w:tcPr>
            <w:tcW w:type="dxa" w:w="1255"/>
          </w:tcPr>
          <w:p>
            <w:pPr>
              <w:jc w:val="center"/>
            </w:pPr>
            <w:r>
              <w:rPr>
                <w:sz w:val="18"/>
              </w:rPr>
              <w:t>-46.0%</w:t>
            </w:r>
          </w:p>
        </w:tc>
        <w:tc>
          <w:tcPr>
            <w:tcW w:type="dxa" w:w="1255"/>
          </w:tcPr>
          <w:p>
            <w:pPr>
              <w:jc w:val="center"/>
            </w:pPr>
            <w:r>
              <w:rPr>
                <w:sz w:val="18"/>
              </w:rPr>
              <w:t>170</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$784K</w:t>
            </w:r>
          </w:p>
        </w:tc>
        <w:tc>
          <w:tcPr>
            <w:tcW w:type="dxa" w:w="1255"/>
          </w:tcPr>
          <w:p>
            <w:pPr>
              <w:jc w:val="center"/>
            </w:pPr>
            <w:r>
              <w:rPr>
                <w:sz w:val="18"/>
              </w:rPr>
              <w:t>+13.2%</w:t>
            </w:r>
          </w:p>
        </w:tc>
        <w:tc>
          <w:tcPr>
            <w:tcW w:type="dxa" w:w="1255"/>
          </w:tcPr>
          <w:p>
            <w:pPr>
              <w:jc w:val="center"/>
            </w:pPr>
            <w:r>
              <w:rPr>
                <w:sz w:val="18"/>
              </w:rPr>
              <w:t>0.49</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21.5% CAGR with a 0.72 Sharpe and -46.0% max drawdown -- but it still trails the drawdown exit by 9 percentage points of CAGR with a worse Sharpe.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2"/>
      </w:pPr>
      <w:r>
        <w:t>Why 25% May Not Be Arbitrary</w:t>
      </w:r>
    </w:p>
    <w:p>
      <w:r>
        <w:t>One potential concern is that 25% is simply a round number that happened to work on this dataset. But there's a structural reason it may be well-calibrated for a 3x instrument.</w:t>
      </w:r>
    </w:p>
    <w:p>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Exit Date</w:t>
            </w:r>
          </w:p>
        </w:tc>
        <w:tc>
          <w:tcPr>
            <w:tcW w:type="dxa" w:w="2196"/>
          </w:tcPr>
          <w:p>
            <w:pPr>
              <w:jc w:val="center"/>
            </w:pPr>
            <w:r>
              <w:rPr>
                <w:b/>
                <w:sz w:val="18"/>
              </w:rPr>
              <w:t>UPRO DD</w:t>
            </w:r>
          </w:p>
        </w:tc>
        <w:tc>
          <w:tcPr>
            <w:tcW w:type="dxa" w:w="2196"/>
          </w:tcPr>
          <w:p>
            <w:pPr>
              <w:jc w:val="center"/>
            </w:pPr>
            <w:r>
              <w:rPr>
                <w:b/>
                <w:sz w:val="18"/>
              </w:rPr>
              <w:t>SPY DD</w:t>
            </w:r>
          </w:p>
        </w:tc>
        <w:tc>
          <w:tcPr>
            <w:tcW w:type="dxa" w:w="2196"/>
          </w:tcPr>
          <w:p>
            <w:pPr>
              <w:jc w:val="center"/>
            </w:pPr>
            <w:r>
              <w:rPr>
                <w:b/>
                <w:sz w:val="18"/>
              </w:rPr>
              <w:t>VIX</w:t>
            </w:r>
          </w:p>
        </w:tc>
      </w:tr>
      <w:tr>
        <w:tc>
          <w:tcPr>
            <w:tcW w:type="dxa" w:w="2196"/>
          </w:tcPr>
          <w:p>
            <w:pPr>
              <w:jc w:val="left"/>
            </w:pPr>
            <w:r>
              <w:rPr>
                <w:sz w:val="18"/>
              </w:rPr>
              <w:t>May 2010</w:t>
            </w:r>
          </w:p>
        </w:tc>
        <w:tc>
          <w:tcPr>
            <w:tcW w:type="dxa" w:w="2196"/>
          </w:tcPr>
          <w:p>
            <w:pPr>
              <w:jc w:val="center"/>
            </w:pPr>
            <w:r>
              <w:rPr>
                <w:sz w:val="18"/>
              </w:rPr>
              <w:t>-32.9%</w:t>
            </w:r>
          </w:p>
        </w:tc>
        <w:tc>
          <w:tcPr>
            <w:tcW w:type="dxa" w:w="2196"/>
          </w:tcPr>
          <w:p>
            <w:pPr>
              <w:jc w:val="center"/>
            </w:pPr>
            <w:r>
              <w:rPr>
                <w:sz w:val="18"/>
              </w:rPr>
              <w:t>-11.7%</w:t>
            </w:r>
          </w:p>
        </w:tc>
        <w:tc>
          <w:tcPr>
            <w:tcW w:type="dxa" w:w="2196"/>
          </w:tcPr>
          <w:p>
            <w:pPr>
              <w:jc w:val="center"/>
            </w:pPr>
            <w:r>
              <w:rPr>
                <w:sz w:val="18"/>
              </w:rPr>
              <w:t>45.8</w:t>
            </w:r>
          </w:p>
        </w:tc>
      </w:tr>
      <w:tr>
        <w:tc>
          <w:tcPr>
            <w:tcW w:type="dxa" w:w="2196"/>
          </w:tcPr>
          <w:p>
            <w:pPr>
              <w:jc w:val="left"/>
            </w:pPr>
            <w:r>
              <w:rPr>
                <w:sz w:val="18"/>
              </w:rPr>
              <w:t>Aug 2011</w:t>
            </w:r>
          </w:p>
        </w:tc>
        <w:tc>
          <w:tcPr>
            <w:tcW w:type="dxa" w:w="2196"/>
          </w:tcPr>
          <w:p>
            <w:pPr>
              <w:jc w:val="center"/>
            </w:pPr>
            <w:r>
              <w:rPr>
                <w:sz w:val="18"/>
              </w:rPr>
              <w:t>-32.7%</w:t>
            </w:r>
          </w:p>
        </w:tc>
        <w:tc>
          <w:tcPr>
            <w:tcW w:type="dxa" w:w="2196"/>
          </w:tcPr>
          <w:p>
            <w:pPr>
              <w:jc w:val="center"/>
            </w:pPr>
            <w:r>
              <w:rPr>
                <w:sz w:val="18"/>
              </w:rPr>
              <w:t>-11.4%</w:t>
            </w:r>
          </w:p>
        </w:tc>
        <w:tc>
          <w:tcPr>
            <w:tcW w:type="dxa" w:w="2196"/>
          </w:tcPr>
          <w:p>
            <w:pPr>
              <w:jc w:val="center"/>
            </w:pPr>
            <w:r>
              <w:rPr>
                <w:sz w:val="18"/>
              </w:rPr>
              <w:t>31.7</w:t>
            </w:r>
          </w:p>
        </w:tc>
      </w:tr>
      <w:tr>
        <w:tc>
          <w:tcPr>
            <w:tcW w:type="dxa" w:w="2196"/>
          </w:tcPr>
          <w:p>
            <w:pPr>
              <w:jc w:val="left"/>
            </w:pPr>
            <w:r>
              <w:rPr>
                <w:sz w:val="18"/>
              </w:rPr>
              <w:t>Nov 2011</w:t>
            </w:r>
          </w:p>
        </w:tc>
        <w:tc>
          <w:tcPr>
            <w:tcW w:type="dxa" w:w="2196"/>
          </w:tcPr>
          <w:p>
            <w:pPr>
              <w:jc w:val="center"/>
            </w:pPr>
            <w:r>
              <w:rPr>
                <w:sz w:val="18"/>
              </w:rPr>
              <w:t>-27.0%</w:t>
            </w:r>
          </w:p>
        </w:tc>
        <w:tc>
          <w:tcPr>
            <w:tcW w:type="dxa" w:w="2196"/>
          </w:tcPr>
          <w:p>
            <w:pPr>
              <w:jc w:val="center"/>
            </w:pPr>
            <w:r>
              <w:rPr>
                <w:sz w:val="18"/>
              </w:rPr>
              <w:t>-13.7%</w:t>
            </w:r>
          </w:p>
        </w:tc>
        <w:tc>
          <w:tcPr>
            <w:tcW w:type="dxa" w:w="2196"/>
          </w:tcPr>
          <w:p>
            <w:pPr>
              <w:jc w:val="center"/>
            </w:pPr>
            <w:r>
              <w:rPr>
                <w:sz w:val="18"/>
              </w:rPr>
              <w:t>34.0</w:t>
            </w:r>
          </w:p>
        </w:tc>
      </w:tr>
      <w:tr>
        <w:tc>
          <w:tcPr>
            <w:tcW w:type="dxa" w:w="2196"/>
          </w:tcPr>
          <w:p>
            <w:pPr>
              <w:jc w:val="left"/>
            </w:pPr>
            <w:r>
              <w:rPr>
                <w:sz w:val="18"/>
              </w:rPr>
              <w:t>Jun 2012</w:t>
            </w:r>
          </w:p>
        </w:tc>
        <w:tc>
          <w:tcPr>
            <w:tcW w:type="dxa" w:w="2196"/>
          </w:tcPr>
          <w:p>
            <w:pPr>
              <w:jc w:val="center"/>
            </w:pPr>
            <w:r>
              <w:rPr>
                <w:sz w:val="18"/>
              </w:rPr>
              <w:t>-27.2%</w:t>
            </w:r>
          </w:p>
        </w:tc>
        <w:tc>
          <w:tcPr>
            <w:tcW w:type="dxa" w:w="2196"/>
          </w:tcPr>
          <w:p>
            <w:pPr>
              <w:jc w:val="center"/>
            </w:pPr>
            <w:r>
              <w:rPr>
                <w:sz w:val="18"/>
              </w:rPr>
              <w:t>-9.6%</w:t>
            </w:r>
          </w:p>
        </w:tc>
        <w:tc>
          <w:tcPr>
            <w:tcW w:type="dxa" w:w="2196"/>
          </w:tcPr>
          <w:p>
            <w:pPr>
              <w:jc w:val="center"/>
            </w:pPr>
            <w:r>
              <w:rPr>
                <w:sz w:val="18"/>
              </w:rPr>
              <w:t>26.7</w:t>
            </w:r>
          </w:p>
        </w:tc>
      </w:tr>
      <w:tr>
        <w:tc>
          <w:tcPr>
            <w:tcW w:type="dxa" w:w="2196"/>
          </w:tcPr>
          <w:p>
            <w:pPr>
              <w:jc w:val="left"/>
            </w:pPr>
            <w:r>
              <w:rPr>
                <w:sz w:val="18"/>
              </w:rPr>
              <w:t>Aug 2015</w:t>
            </w:r>
          </w:p>
        </w:tc>
        <w:tc>
          <w:tcPr>
            <w:tcW w:type="dxa" w:w="2196"/>
          </w:tcPr>
          <w:p>
            <w:pPr>
              <w:jc w:val="center"/>
            </w:pPr>
            <w:r>
              <w:rPr>
                <w:sz w:val="18"/>
              </w:rPr>
              <w:t>-30.1%</w:t>
            </w:r>
          </w:p>
        </w:tc>
        <w:tc>
          <w:tcPr>
            <w:tcW w:type="dxa" w:w="2196"/>
          </w:tcPr>
          <w:p>
            <w:pPr>
              <w:jc w:val="center"/>
            </w:pPr>
            <w:r>
              <w:rPr>
                <w:sz w:val="18"/>
              </w:rPr>
              <w:t>-10.9%</w:t>
            </w:r>
          </w:p>
        </w:tc>
        <w:tc>
          <w:tcPr>
            <w:tcW w:type="dxa" w:w="2196"/>
          </w:tcPr>
          <w:p>
            <w:pPr>
              <w:jc w:val="center"/>
            </w:pPr>
            <w:r>
              <w:rPr>
                <w:sz w:val="18"/>
              </w:rPr>
              <w:t>40.7</w:t>
            </w:r>
          </w:p>
        </w:tc>
      </w:tr>
      <w:tr>
        <w:tc>
          <w:tcPr>
            <w:tcW w:type="dxa" w:w="2196"/>
          </w:tcPr>
          <w:p>
            <w:pPr>
              <w:jc w:val="left"/>
            </w:pPr>
            <w:r>
              <w:rPr>
                <w:sz w:val="18"/>
              </w:rPr>
              <w:t>Jan 2016</w:t>
            </w:r>
          </w:p>
        </w:tc>
        <w:tc>
          <w:tcPr>
            <w:tcW w:type="dxa" w:w="2196"/>
          </w:tcPr>
          <w:p>
            <w:pPr>
              <w:jc w:val="center"/>
            </w:pPr>
            <w:r>
              <w:rPr>
                <w:sz w:val="18"/>
              </w:rPr>
              <w:t>-28.5%</w:t>
            </w:r>
          </w:p>
        </w:tc>
        <w:tc>
          <w:tcPr>
            <w:tcW w:type="dxa" w:w="2196"/>
          </w:tcPr>
          <w:p>
            <w:pPr>
              <w:jc w:val="center"/>
            </w:pPr>
            <w:r>
              <w:rPr>
                <w:sz w:val="18"/>
              </w:rPr>
              <w:t>-10.2%</w:t>
            </w:r>
          </w:p>
        </w:tc>
        <w:tc>
          <w:tcPr>
            <w:tcW w:type="dxa" w:w="2196"/>
          </w:tcPr>
          <w:p>
            <w:pPr>
              <w:jc w:val="center"/>
            </w:pPr>
            <w:r>
              <w:rPr>
                <w:sz w:val="18"/>
              </w:rPr>
              <w:t>25.2</w:t>
            </w:r>
          </w:p>
        </w:tc>
      </w:tr>
      <w:tr>
        <w:tc>
          <w:tcPr>
            <w:tcW w:type="dxa" w:w="2196"/>
          </w:tcPr>
          <w:p>
            <w:pPr>
              <w:jc w:val="left"/>
            </w:pPr>
            <w:r>
              <w:rPr>
                <w:sz w:val="18"/>
              </w:rPr>
              <w:t>Feb 2018</w:t>
            </w:r>
          </w:p>
        </w:tc>
        <w:tc>
          <w:tcPr>
            <w:tcW w:type="dxa" w:w="2196"/>
          </w:tcPr>
          <w:p>
            <w:pPr>
              <w:jc w:val="center"/>
            </w:pPr>
            <w:r>
              <w:rPr>
                <w:sz w:val="18"/>
              </w:rPr>
              <w:t>-28.3%</w:t>
            </w:r>
          </w:p>
        </w:tc>
        <w:tc>
          <w:tcPr>
            <w:tcW w:type="dxa" w:w="2196"/>
          </w:tcPr>
          <w:p>
            <w:pPr>
              <w:jc w:val="center"/>
            </w:pPr>
            <w:r>
              <w:rPr>
                <w:sz w:val="18"/>
              </w:rPr>
              <w:t>-10.1%</w:t>
            </w:r>
          </w:p>
        </w:tc>
        <w:tc>
          <w:tcPr>
            <w:tcW w:type="dxa" w:w="2196"/>
          </w:tcPr>
          <w:p>
            <w:pPr>
              <w:jc w:val="center"/>
            </w:pPr>
            <w:r>
              <w:rPr>
                <w:sz w:val="18"/>
              </w:rPr>
              <w:t>33.5</w:t>
            </w:r>
          </w:p>
        </w:tc>
      </w:tr>
      <w:tr>
        <w:tc>
          <w:tcPr>
            <w:tcW w:type="dxa" w:w="2196"/>
          </w:tcPr>
          <w:p>
            <w:pPr>
              <w:jc w:val="left"/>
            </w:pPr>
            <w:r>
              <w:rPr>
                <w:sz w:val="18"/>
              </w:rPr>
              <w:t>Oct 2018</w:t>
            </w:r>
          </w:p>
        </w:tc>
        <w:tc>
          <w:tcPr>
            <w:tcW w:type="dxa" w:w="2196"/>
          </w:tcPr>
          <w:p>
            <w:pPr>
              <w:jc w:val="center"/>
            </w:pPr>
            <w:r>
              <w:rPr>
                <w:sz w:val="18"/>
              </w:rPr>
              <w:t>-26.5%</w:t>
            </w:r>
          </w:p>
        </w:tc>
        <w:tc>
          <w:tcPr>
            <w:tcW w:type="dxa" w:w="2196"/>
          </w:tcPr>
          <w:p>
            <w:pPr>
              <w:jc w:val="center"/>
            </w:pPr>
            <w:r>
              <w:rPr>
                <w:sz w:val="18"/>
              </w:rPr>
              <w:t>-9.2%</w:t>
            </w:r>
          </w:p>
        </w:tc>
        <w:tc>
          <w:tcPr>
            <w:tcW w:type="dxa" w:w="2196"/>
          </w:tcPr>
          <w:p>
            <w:pPr>
              <w:jc w:val="center"/>
            </w:pPr>
            <w:r>
              <w:rPr>
                <w:sz w:val="18"/>
              </w:rPr>
              <w:t>25.2</w:t>
            </w:r>
          </w:p>
        </w:tc>
      </w:tr>
      <w:tr>
        <w:tc>
          <w:tcPr>
            <w:tcW w:type="dxa" w:w="2196"/>
          </w:tcPr>
          <w:p>
            <w:pPr>
              <w:jc w:val="left"/>
            </w:pPr>
            <w:r>
              <w:rPr>
                <w:sz w:val="18"/>
              </w:rPr>
              <w:t>Feb 2020</w:t>
            </w:r>
          </w:p>
        </w:tc>
        <w:tc>
          <w:tcPr>
            <w:tcW w:type="dxa" w:w="2196"/>
          </w:tcPr>
          <w:p>
            <w:pPr>
              <w:jc w:val="center"/>
            </w:pPr>
            <w:r>
              <w:rPr>
                <w:sz w:val="18"/>
              </w:rPr>
              <w:t>-33.1%</w:t>
            </w:r>
          </w:p>
        </w:tc>
        <w:tc>
          <w:tcPr>
            <w:tcW w:type="dxa" w:w="2196"/>
          </w:tcPr>
          <w:p>
            <w:pPr>
              <w:jc w:val="center"/>
            </w:pPr>
            <w:r>
              <w:rPr>
                <w:sz w:val="18"/>
              </w:rPr>
              <w:t>-12.1%</w:t>
            </w:r>
          </w:p>
        </w:tc>
        <w:tc>
          <w:tcPr>
            <w:tcW w:type="dxa" w:w="2196"/>
          </w:tcPr>
          <w:p>
            <w:pPr>
              <w:jc w:val="center"/>
            </w:pPr>
            <w:r>
              <w:rPr>
                <w:sz w:val="18"/>
              </w:rPr>
              <w:t>39.2</w:t>
            </w:r>
          </w:p>
        </w:tc>
      </w:tr>
      <w:tr>
        <w:tc>
          <w:tcPr>
            <w:tcW w:type="dxa" w:w="2196"/>
          </w:tcPr>
          <w:p>
            <w:pPr>
              <w:jc w:val="left"/>
            </w:pPr>
            <w:r>
              <w:rPr>
                <w:sz w:val="18"/>
              </w:rPr>
              <w:t>Sep 2020</w:t>
            </w:r>
          </w:p>
        </w:tc>
        <w:tc>
          <w:tcPr>
            <w:tcW w:type="dxa" w:w="2196"/>
          </w:tcPr>
          <w:p>
            <w:pPr>
              <w:jc w:val="center"/>
            </w:pPr>
            <w:r>
              <w:rPr>
                <w:sz w:val="18"/>
              </w:rPr>
              <w:t>-26.7%</w:t>
            </w:r>
          </w:p>
        </w:tc>
        <w:tc>
          <w:tcPr>
            <w:tcW w:type="dxa" w:w="2196"/>
          </w:tcPr>
          <w:p>
            <w:pPr>
              <w:jc w:val="center"/>
            </w:pPr>
            <w:r>
              <w:rPr>
                <w:sz w:val="18"/>
              </w:rPr>
              <w:t>-9.4%</w:t>
            </w:r>
          </w:p>
        </w:tc>
        <w:tc>
          <w:tcPr>
            <w:tcW w:type="dxa" w:w="2196"/>
          </w:tcPr>
          <w:p>
            <w:pPr>
              <w:jc w:val="center"/>
            </w:pPr>
            <w:r>
              <w:rPr>
                <w:sz w:val="18"/>
              </w:rPr>
              <w:t>28.6</w:t>
            </w:r>
          </w:p>
        </w:tc>
      </w:tr>
      <w:tr>
        <w:tc>
          <w:tcPr>
            <w:tcW w:type="dxa" w:w="2196"/>
          </w:tcPr>
          <w:p>
            <w:pPr>
              <w:jc w:val="left"/>
            </w:pPr>
            <w:r>
              <w:rPr>
                <w:sz w:val="18"/>
              </w:rPr>
              <w:t>Jan 2022</w:t>
            </w:r>
          </w:p>
        </w:tc>
        <w:tc>
          <w:tcPr>
            <w:tcW w:type="dxa" w:w="2196"/>
          </w:tcPr>
          <w:p>
            <w:pPr>
              <w:jc w:val="center"/>
            </w:pPr>
            <w:r>
              <w:rPr>
                <w:sz w:val="18"/>
              </w:rPr>
              <w:t>-25.3%</w:t>
            </w:r>
          </w:p>
        </w:tc>
        <w:tc>
          <w:tcPr>
            <w:tcW w:type="dxa" w:w="2196"/>
          </w:tcPr>
          <w:p>
            <w:pPr>
              <w:jc w:val="center"/>
            </w:pPr>
            <w:r>
              <w:rPr>
                <w:sz w:val="18"/>
              </w:rPr>
              <w:t>-9.1%</w:t>
            </w:r>
          </w:p>
        </w:tc>
        <w:tc>
          <w:tcPr>
            <w:tcW w:type="dxa" w:w="2196"/>
          </w:tcPr>
          <w:p>
            <w:pPr>
              <w:jc w:val="center"/>
            </w:pPr>
            <w:r>
              <w:rPr>
                <w:sz w:val="18"/>
              </w:rPr>
              <w:t>31.2</w:t>
            </w:r>
          </w:p>
        </w:tc>
      </w:tr>
      <w:tr>
        <w:tc>
          <w:tcPr>
            <w:tcW w:type="dxa" w:w="2196"/>
          </w:tcPr>
          <w:p>
            <w:pPr>
              <w:jc w:val="left"/>
            </w:pPr>
            <w:r>
              <w:rPr>
                <w:sz w:val="18"/>
              </w:rPr>
              <w:t>Apr 2022</w:t>
            </w:r>
          </w:p>
        </w:tc>
        <w:tc>
          <w:tcPr>
            <w:tcW w:type="dxa" w:w="2196"/>
          </w:tcPr>
          <w:p>
            <w:pPr>
              <w:jc w:val="center"/>
            </w:pPr>
            <w:r>
              <w:rPr>
                <w:sz w:val="18"/>
              </w:rPr>
              <w:t>-27.6%</w:t>
            </w:r>
          </w:p>
        </w:tc>
        <w:tc>
          <w:tcPr>
            <w:tcW w:type="dxa" w:w="2196"/>
          </w:tcPr>
          <w:p>
            <w:pPr>
              <w:jc w:val="center"/>
            </w:pPr>
            <w:r>
              <w:rPr>
                <w:sz w:val="18"/>
              </w:rPr>
              <w:t>-12.6%</w:t>
            </w:r>
          </w:p>
        </w:tc>
        <w:tc>
          <w:tcPr>
            <w:tcW w:type="dxa" w:w="2196"/>
          </w:tcPr>
          <w:p>
            <w:pPr>
              <w:jc w:val="center"/>
            </w:pPr>
            <w:r>
              <w:rPr>
                <w:sz w:val="18"/>
              </w:rPr>
              <w:t>33.5</w:t>
            </w:r>
          </w:p>
        </w:tc>
      </w:tr>
      <w:tr>
        <w:tc>
          <w:tcPr>
            <w:tcW w:type="dxa" w:w="2196"/>
          </w:tcPr>
          <w:p>
            <w:pPr>
              <w:jc w:val="left"/>
            </w:pPr>
            <w:r>
              <w:rPr>
                <w:sz w:val="18"/>
              </w:rPr>
              <w:t>Sep 2022</w:t>
            </w:r>
          </w:p>
        </w:tc>
        <w:tc>
          <w:tcPr>
            <w:tcW w:type="dxa" w:w="2196"/>
          </w:tcPr>
          <w:p>
            <w:pPr>
              <w:jc w:val="center"/>
            </w:pPr>
            <w:r>
              <w:rPr>
                <w:sz w:val="18"/>
              </w:rPr>
              <w:t>-25.7%</w:t>
            </w:r>
          </w:p>
        </w:tc>
        <w:tc>
          <w:tcPr>
            <w:tcW w:type="dxa" w:w="2196"/>
          </w:tcPr>
          <w:p>
            <w:pPr>
              <w:jc w:val="center"/>
            </w:pPr>
            <w:r>
              <w:rPr>
                <w:sz w:val="18"/>
              </w:rPr>
              <w:t>-17.6%</w:t>
            </w:r>
          </w:p>
        </w:tc>
        <w:tc>
          <w:tcPr>
            <w:tcW w:type="dxa" w:w="2196"/>
          </w:tcPr>
          <w:p>
            <w:pPr>
              <w:jc w:val="center"/>
            </w:pPr>
            <w:r>
              <w:rPr>
                <w:sz w:val="18"/>
              </w:rPr>
              <w:t>26.9</w:t>
            </w:r>
          </w:p>
        </w:tc>
      </w:tr>
      <w:tr>
        <w:tc>
          <w:tcPr>
            <w:tcW w:type="dxa" w:w="2196"/>
          </w:tcPr>
          <w:p>
            <w:pPr>
              <w:jc w:val="left"/>
            </w:pPr>
            <w:r>
              <w:rPr>
                <w:sz w:val="18"/>
              </w:rPr>
              <w:t>Oct 2023</w:t>
            </w:r>
          </w:p>
        </w:tc>
        <w:tc>
          <w:tcPr>
            <w:tcW w:type="dxa" w:w="2196"/>
          </w:tcPr>
          <w:p>
            <w:pPr>
              <w:jc w:val="center"/>
            </w:pPr>
            <w:r>
              <w:rPr>
                <w:sz w:val="18"/>
              </w:rPr>
              <w:t>-26.5%</w:t>
            </w:r>
          </w:p>
        </w:tc>
        <w:tc>
          <w:tcPr>
            <w:tcW w:type="dxa" w:w="2196"/>
          </w:tcPr>
          <w:p>
            <w:pPr>
              <w:jc w:val="center"/>
            </w:pPr>
            <w:r>
              <w:rPr>
                <w:sz w:val="18"/>
              </w:rPr>
              <w:t>-10.2%</w:t>
            </w:r>
          </w:p>
        </w:tc>
        <w:tc>
          <w:tcPr>
            <w:tcW w:type="dxa" w:w="2196"/>
          </w:tcPr>
          <w:p>
            <w:pPr>
              <w:jc w:val="center"/>
            </w:pPr>
            <w:r>
              <w:rPr>
                <w:sz w:val="18"/>
              </w:rPr>
              <w:t>20.2</w:t>
            </w:r>
          </w:p>
        </w:tc>
      </w:tr>
      <w:tr>
        <w:tc>
          <w:tcPr>
            <w:tcW w:type="dxa" w:w="2196"/>
          </w:tcPr>
          <w:p>
            <w:pPr>
              <w:jc w:val="left"/>
            </w:pPr>
            <w:r>
              <w:rPr>
                <w:sz w:val="18"/>
              </w:rPr>
              <w:t>Mar 2025</w:t>
            </w:r>
          </w:p>
        </w:tc>
        <w:tc>
          <w:tcPr>
            <w:tcW w:type="dxa" w:w="2196"/>
          </w:tcPr>
          <w:p>
            <w:pPr>
              <w:jc w:val="center"/>
            </w:pPr>
            <w:r>
              <w:rPr>
                <w:sz w:val="18"/>
              </w:rPr>
              <w:t>-26.4%</w:t>
            </w:r>
          </w:p>
        </w:tc>
        <w:tc>
          <w:tcPr>
            <w:tcW w:type="dxa" w:w="2196"/>
          </w:tcPr>
          <w:p>
            <w:pPr>
              <w:jc w:val="center"/>
            </w:pPr>
            <w:r>
              <w:rPr>
                <w:sz w:val="18"/>
              </w:rPr>
              <w:t>-9.3%</w:t>
            </w:r>
          </w:p>
        </w:tc>
        <w:tc>
          <w:tcPr>
            <w:tcW w:type="dxa" w:w="2196"/>
          </w:tcPr>
          <w:p>
            <w:pPr>
              <w:jc w:val="center"/>
            </w:pPr>
            <w:r>
              <w:rPr>
                <w:sz w:val="18"/>
              </w:rPr>
              <w:t>26.9</w:t>
            </w:r>
          </w:p>
        </w:tc>
      </w:tr>
    </w:tbl>
    <w:p/>
    <w:p>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pPr>
        <w:pStyle w:val="Heading2"/>
      </w:pPr>
      <w:r>
        <w:t>Block Bootstrap Robustness Test</w:t>
      </w:r>
    </w:p>
    <w:p>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r>
        <w:t>The result: the drawdown exit strategy produced a higher Sharpe ratio than buy-and-hold in only 36% of simulated paths, with a median Sharpe improvement of -0.05. This is the most important finding in the entire analysis. It means the strategy's Sharpe advantage over buy-and-hold is not a general property of the return distribution -- it is regime-conditional, dependent on the specific sequencing of bull runs followed by sharp crashes that characterized 2009-2026. In randomly reordered histories, the advantage usually disappears.</w:t>
      </w:r>
    </w:p>
    <w:p>
      <w:r>
        <w:t>This is an approximate regime test, not a precise replication of the production backtest -- the bootstrap uses a simplified close-only model and average risk-free carry rather than date-specific rates. But the directional conclusion is clear: the Sharpe edge is materially path-dependent.</w:t>
      </w:r>
    </w:p>
    <w:p>
      <w:r>
        <w:t xml:space="preserve">That does not mean the strategy is useless. Real markets </w:t>
      </w:r>
      <w:r>
        <w:rPr>
          <w:i/>
        </w:rPr>
        <w:t>do</w:t>
      </w:r>
      <w:r>
        <w:t xml:space="preserve"> exhibit the volatility clustering, momentum, and mean-reversion patterns that the drawdown rule responds to. The exit diagnostic table above confirms that the 25% trigger identifies genuine stress episodes in actual market history. But the honest conclusion is that the strategy is a useful practical overlay for regimes resembling recent history -- trending markets with occasional sharp corrections -- not evidence of a regime-invariant alpha source. In a market with fundamentally different dynamics (extended sideways chop, a multi-year grinding bear), the edge may shrink or disappear entirely.</w:t>
      </w:r>
    </w:p>
    <w:p>
      <w:pPr>
        <w:jc w:val="center"/>
      </w:pPr>
      <w:r>
        <w:drawing>
          <wp:inline xmlns:a="http://schemas.openxmlformats.org/drawingml/2006/main" xmlns:pic="http://schemas.openxmlformats.org/drawingml/2006/picture">
            <wp:extent cx="5486400" cy="2252190"/>
            <wp:docPr id="10" name="Picture 10"/>
            <wp:cNvGraphicFramePr>
              <a:graphicFrameLocks noChangeAspect="1"/>
            </wp:cNvGraphicFramePr>
            <a:graphic>
              <a:graphicData uri="http://schemas.openxmlformats.org/drawingml/2006/picture">
                <pic:pic>
                  <pic:nvPicPr>
                    <pic:cNvPr id="0" name="14_bootstrap.png"/>
                    <pic:cNvPicPr/>
                  </pic:nvPicPr>
                  <pic:blipFill>
                    <a:blip r:embed="rId18"/>
                    <a:stretch>
                      <a:fillRect/>
                    </a:stretch>
                  </pic:blipFill>
                  <pic:spPr>
                    <a:xfrm>
                      <a:off x="0" y="0"/>
                      <a:ext cx="5486400" cy="2252190"/>
                    </a:xfrm>
                    <a:prstGeom prst="rect"/>
                  </pic:spPr>
                </pic:pic>
              </a:graphicData>
            </a:graphic>
          </wp:inline>
        </w:drawing>
      </w:r>
    </w:p>
    <w:p/>
    <w:p>
      <w:pPr>
        <w:pStyle w:val="Heading2"/>
      </w:pPr>
      <w:r>
        <w:t>Volatility-Normalized Drawdown Rule</w:t>
      </w:r>
    </w:p>
    <w:p>
      <w:r>
        <w:t>A natural question: if the 25% threshold works because it detects volatility regimes, shouldn't a volatility-normalized version work even better? To test this, I implemented a generalized version: exit when the drawdown exceeds k times UPRO's 20-day realized volatility.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Variant</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Trades</w:t>
            </w:r>
          </w:p>
        </w:tc>
      </w:tr>
      <w:tr>
        <w:tc>
          <w:tcPr>
            <w:tcW w:type="dxa" w:w="1464"/>
          </w:tcPr>
          <w:p>
            <w:pPr>
              <w:jc w:val="left"/>
            </w:pPr>
            <w:r>
              <w:rPr>
                <w:b/>
                <w:sz w:val="18"/>
              </w:rPr>
              <w:t>DD25%/Cool40 (fixed)</w:t>
            </w:r>
          </w:p>
        </w:tc>
        <w:tc>
          <w:tcPr>
            <w:tcW w:type="dxa" w:w="1464"/>
          </w:tcPr>
          <w:p>
            <w:pPr>
              <w:jc w:val="center"/>
            </w:pPr>
            <w:r>
              <w:rPr>
                <w:b/>
                <w:sz w:val="18"/>
              </w:rPr>
              <w:t>$8.4M</w:t>
            </w:r>
          </w:p>
        </w:tc>
        <w:tc>
          <w:tcPr>
            <w:tcW w:type="dxa" w:w="1464"/>
          </w:tcPr>
          <w:p>
            <w:pPr>
              <w:jc w:val="center"/>
            </w:pPr>
            <w:r>
              <w:rPr>
                <w:b/>
                <w:sz w:val="18"/>
              </w:rPr>
              <w:t>+30.5%</w:t>
            </w:r>
          </w:p>
        </w:tc>
        <w:tc>
          <w:tcPr>
            <w:tcW w:type="dxa" w:w="1464"/>
          </w:tcPr>
          <w:p>
            <w:pPr>
              <w:jc w:val="center"/>
            </w:pPr>
            <w:r>
              <w:rPr>
                <w:b/>
                <w:sz w:val="18"/>
              </w:rPr>
              <w:t>0.85</w:t>
            </w:r>
          </w:p>
        </w:tc>
        <w:tc>
          <w:tcPr>
            <w:tcW w:type="dxa" w:w="1464"/>
          </w:tcPr>
          <w:p>
            <w:pPr>
              <w:jc w:val="center"/>
            </w:pPr>
            <w:r>
              <w:rPr>
                <w:b/>
                <w:sz w:val="18"/>
              </w:rPr>
              <w:t>-41.8%</w:t>
            </w:r>
          </w:p>
        </w:tc>
        <w:tc>
          <w:tcPr>
            <w:tcW w:type="dxa" w:w="1464"/>
          </w:tcPr>
          <w:p>
            <w:pPr>
              <w:jc w:val="center"/>
            </w:pPr>
            <w:r>
              <w:rPr>
                <w:b/>
                <w:sz w:val="18"/>
              </w:rPr>
              <w:t>31</w:t>
            </w:r>
          </w:p>
        </w:tc>
      </w:tr>
      <w:tr>
        <w:tc>
          <w:tcPr>
            <w:tcW w:type="dxa" w:w="1464"/>
          </w:tcPr>
          <w:p>
            <w:pPr>
              <w:jc w:val="left"/>
            </w:pPr>
            <w:r>
              <w:rPr>
                <w:sz w:val="18"/>
              </w:rPr>
              <w:t>VolNorm k=4</w:t>
            </w:r>
          </w:p>
        </w:tc>
        <w:tc>
          <w:tcPr>
            <w:tcW w:type="dxa" w:w="1464"/>
          </w:tcPr>
          <w:p>
            <w:pPr>
              <w:jc w:val="center"/>
            </w:pPr>
            <w:r>
              <w:rPr>
                <w:sz w:val="18"/>
              </w:rPr>
              <w:t>$1.4M</w:t>
            </w:r>
          </w:p>
        </w:tc>
        <w:tc>
          <w:tcPr>
            <w:tcW w:type="dxa" w:w="1464"/>
          </w:tcPr>
          <w:p>
            <w:pPr>
              <w:jc w:val="center"/>
            </w:pPr>
            <w:r>
              <w:rPr>
                <w:sz w:val="18"/>
              </w:rPr>
              <w:t>+17.0%</w:t>
            </w:r>
          </w:p>
        </w:tc>
        <w:tc>
          <w:tcPr>
            <w:tcW w:type="dxa" w:w="1464"/>
          </w:tcPr>
          <w:p>
            <w:pPr>
              <w:jc w:val="center"/>
            </w:pPr>
            <w:r>
              <w:rPr>
                <w:sz w:val="18"/>
              </w:rPr>
              <w:t>0.62</w:t>
            </w:r>
          </w:p>
        </w:tc>
        <w:tc>
          <w:tcPr>
            <w:tcW w:type="dxa" w:w="1464"/>
          </w:tcPr>
          <w:p>
            <w:pPr>
              <w:jc w:val="center"/>
            </w:pPr>
            <w:r>
              <w:rPr>
                <w:sz w:val="18"/>
              </w:rPr>
              <w:t>-56.7%</w:t>
            </w:r>
          </w:p>
        </w:tc>
        <w:tc>
          <w:tcPr>
            <w:tcW w:type="dxa" w:w="1464"/>
          </w:tcPr>
          <w:p>
            <w:pPr>
              <w:jc w:val="center"/>
            </w:pPr>
            <w:r>
              <w:rPr>
                <w:sz w:val="18"/>
              </w:rPr>
              <w:t>130</w:t>
            </w:r>
          </w:p>
        </w:tc>
      </w:tr>
      <w:tr>
        <w:tc>
          <w:tcPr>
            <w:tcW w:type="dxa" w:w="1464"/>
          </w:tcPr>
          <w:p>
            <w:pPr>
              <w:jc w:val="left"/>
            </w:pPr>
            <w:r>
              <w:rPr>
                <w:sz w:val="18"/>
              </w:rPr>
              <w:t>VolNorm k=5</w:t>
            </w:r>
          </w:p>
        </w:tc>
        <w:tc>
          <w:tcPr>
            <w:tcW w:type="dxa" w:w="1464"/>
          </w:tcPr>
          <w:p>
            <w:pPr>
              <w:jc w:val="center"/>
            </w:pPr>
            <w:r>
              <w:rPr>
                <w:sz w:val="18"/>
              </w:rPr>
              <w:t>$2.0M</w:t>
            </w:r>
          </w:p>
        </w:tc>
        <w:tc>
          <w:tcPr>
            <w:tcW w:type="dxa" w:w="1464"/>
          </w:tcPr>
          <w:p>
            <w:pPr>
              <w:jc w:val="center"/>
            </w:pPr>
            <w:r>
              <w:rPr>
                <w:sz w:val="18"/>
              </w:rPr>
              <w:t>+19.6%</w:t>
            </w:r>
          </w:p>
        </w:tc>
        <w:tc>
          <w:tcPr>
            <w:tcW w:type="dxa" w:w="1464"/>
          </w:tcPr>
          <w:p>
            <w:pPr>
              <w:jc w:val="center"/>
            </w:pPr>
            <w:r>
              <w:rPr>
                <w:sz w:val="18"/>
              </w:rPr>
              <w:t>0.67</w:t>
            </w:r>
          </w:p>
        </w:tc>
        <w:tc>
          <w:tcPr>
            <w:tcW w:type="dxa" w:w="1464"/>
          </w:tcPr>
          <w:p>
            <w:pPr>
              <w:jc w:val="center"/>
            </w:pPr>
            <w:r>
              <w:rPr>
                <w:sz w:val="18"/>
              </w:rPr>
              <w:t>-47.6%</w:t>
            </w:r>
          </w:p>
        </w:tc>
        <w:tc>
          <w:tcPr>
            <w:tcW w:type="dxa" w:w="1464"/>
          </w:tcPr>
          <w:p>
            <w:pPr>
              <w:jc w:val="center"/>
            </w:pPr>
            <w:r>
              <w:rPr>
                <w:sz w:val="18"/>
              </w:rPr>
              <w:t>87</w:t>
            </w:r>
          </w:p>
        </w:tc>
      </w:tr>
      <w:tr>
        <w:tc>
          <w:tcPr>
            <w:tcW w:type="dxa" w:w="1464"/>
          </w:tcPr>
          <w:p>
            <w:pPr>
              <w:jc w:val="left"/>
            </w:pPr>
            <w:r>
              <w:rPr>
                <w:sz w:val="18"/>
              </w:rPr>
              <w:t>VolNorm k=6</w:t>
            </w:r>
          </w:p>
        </w:tc>
        <w:tc>
          <w:tcPr>
            <w:tcW w:type="dxa" w:w="1464"/>
          </w:tcPr>
          <w:p>
            <w:pPr>
              <w:jc w:val="center"/>
            </w:pPr>
            <w:r>
              <w:rPr>
                <w:sz w:val="18"/>
              </w:rPr>
              <w:t>$1.1M</w:t>
            </w:r>
          </w:p>
        </w:tc>
        <w:tc>
          <w:tcPr>
            <w:tcW w:type="dxa" w:w="1464"/>
          </w:tcPr>
          <w:p>
            <w:pPr>
              <w:jc w:val="center"/>
            </w:pPr>
            <w:r>
              <w:rPr>
                <w:sz w:val="18"/>
              </w:rPr>
              <w:t>+15.5%</w:t>
            </w:r>
          </w:p>
        </w:tc>
        <w:tc>
          <w:tcPr>
            <w:tcW w:type="dxa" w:w="1464"/>
          </w:tcPr>
          <w:p>
            <w:pPr>
              <w:jc w:val="center"/>
            </w:pPr>
            <w:r>
              <w:rPr>
                <w:sz w:val="18"/>
              </w:rPr>
              <w:t>0.55</w:t>
            </w:r>
          </w:p>
        </w:tc>
        <w:tc>
          <w:tcPr>
            <w:tcW w:type="dxa" w:w="1464"/>
          </w:tcPr>
          <w:p>
            <w:pPr>
              <w:jc w:val="center"/>
            </w:pPr>
            <w:r>
              <w:rPr>
                <w:sz w:val="18"/>
              </w:rPr>
              <w:t>-54.1%</w:t>
            </w:r>
          </w:p>
        </w:tc>
        <w:tc>
          <w:tcPr>
            <w:tcW w:type="dxa" w:w="1464"/>
          </w:tcPr>
          <w:p>
            <w:pPr>
              <w:jc w:val="center"/>
            </w:pPr>
            <w:r>
              <w:rPr>
                <w:sz w:val="18"/>
              </w:rPr>
              <w:t>71</w:t>
            </w:r>
          </w:p>
        </w:tc>
      </w:tr>
      <w:tr>
        <w:tc>
          <w:tcPr>
            <w:tcW w:type="dxa" w:w="1464"/>
          </w:tcPr>
          <w:p>
            <w:pPr>
              <w:jc w:val="left"/>
            </w:pPr>
            <w:r>
              <w:rPr>
                <w:sz w:val="18"/>
              </w:rPr>
              <w:t>VolNorm k=7</w:t>
            </w:r>
          </w:p>
        </w:tc>
        <w:tc>
          <w:tcPr>
            <w:tcW w:type="dxa" w:w="1464"/>
          </w:tcPr>
          <w:p>
            <w:pPr>
              <w:jc w:val="center"/>
            </w:pPr>
            <w:r>
              <w:rPr>
                <w:sz w:val="18"/>
              </w:rPr>
              <w:t>$3.4M</w:t>
            </w:r>
          </w:p>
        </w:tc>
        <w:tc>
          <w:tcPr>
            <w:tcW w:type="dxa" w:w="1464"/>
          </w:tcPr>
          <w:p>
            <w:pPr>
              <w:jc w:val="center"/>
            </w:pPr>
            <w:r>
              <w:rPr>
                <w:sz w:val="18"/>
              </w:rPr>
              <w:t>+23.9%</w:t>
            </w:r>
          </w:p>
        </w:tc>
        <w:tc>
          <w:tcPr>
            <w:tcW w:type="dxa" w:w="1464"/>
          </w:tcPr>
          <w:p>
            <w:pPr>
              <w:jc w:val="center"/>
            </w:pPr>
            <w:r>
              <w:rPr>
                <w:sz w:val="18"/>
              </w:rPr>
              <w:t>0.71</w:t>
            </w:r>
          </w:p>
        </w:tc>
        <w:tc>
          <w:tcPr>
            <w:tcW w:type="dxa" w:w="1464"/>
          </w:tcPr>
          <w:p>
            <w:pPr>
              <w:jc w:val="center"/>
            </w:pPr>
            <w:r>
              <w:rPr>
                <w:sz w:val="18"/>
              </w:rPr>
              <w:t>-57.3%</w:t>
            </w:r>
          </w:p>
        </w:tc>
        <w:tc>
          <w:tcPr>
            <w:tcW w:type="dxa" w:w="1464"/>
          </w:tcPr>
          <w:p>
            <w:pPr>
              <w:jc w:val="center"/>
            </w:pPr>
            <w:r>
              <w:rPr>
                <w:sz w:val="18"/>
              </w:rPr>
              <w:t>43</w:t>
            </w:r>
          </w:p>
        </w:tc>
      </w:tr>
    </w:tbl>
    <w:p/>
    <w:p>
      <w:r>
        <w:t>The volatility-normalized variants all underperform the fixed 25% rule. The best (k=7) achieves a 0.71 Sharpe with more trades (43 vs. 31). This is a failed generalization test: the theoretically "smarter" adaptive threshold does not improve on the simple fixed rule over this period. The likely explanation is practical rather than deep -- a constant threshold produces fewer false signals during calm periods (when rolling volatility is low and the normalized threshold would be too tight) and remains effective during crises (when volatility spikes and the normalized threshold would be too loose). The result increases confidence that 25% is a practically useful threshold for UPRO, but it does not demonstrate that the number has any structural optimality beyond being well-matched to UPRO's realized volatility during 2009-2026.</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$8.4M</w:t>
            </w:r>
          </w:p>
        </w:tc>
        <w:tc>
          <w:tcPr>
            <w:tcW w:type="dxa" w:w="1255"/>
          </w:tcPr>
          <w:p>
            <w:pPr>
              <w:jc w:val="center"/>
            </w:pPr>
            <w:r>
              <w:rPr>
                <w:sz w:val="18"/>
              </w:rPr>
              <w:t>+30.5%</w:t>
            </w:r>
          </w:p>
        </w:tc>
        <w:tc>
          <w:tcPr>
            <w:tcW w:type="dxa" w:w="1255"/>
          </w:tcPr>
          <w:p>
            <w:pPr>
              <w:jc w:val="center"/>
            </w:pPr>
            <w:r>
              <w:rPr>
                <w:sz w:val="18"/>
              </w:rPr>
              <w:t>0.85</w:t>
            </w:r>
          </w:p>
        </w:tc>
        <w:tc>
          <w:tcPr>
            <w:tcW w:type="dxa" w:w="1255"/>
          </w:tcPr>
          <w:p>
            <w:pPr>
              <w:jc w:val="center"/>
            </w:pPr>
            <w:r>
              <w:rPr>
                <w:sz w:val="18"/>
              </w:rPr>
              <w:t>1.05</w:t>
            </w:r>
          </w:p>
        </w:tc>
        <w:tc>
          <w:tcPr>
            <w:tcW w:type="dxa" w:w="1255"/>
          </w:tcPr>
          <w:p>
            <w:pPr>
              <w:jc w:val="center"/>
            </w:pPr>
            <w:r>
              <w:rPr>
                <w:sz w:val="18"/>
              </w:rPr>
              <w:t>-41.8%</w:t>
            </w:r>
          </w:p>
        </w:tc>
        <w:tc>
          <w:tcPr>
            <w:tcW w:type="dxa" w:w="1255"/>
          </w:tcPr>
          <w:p>
            <w:pPr>
              <w:jc w:val="center"/>
            </w:pPr>
            <w:r>
              <w:rPr>
                <w:sz w:val="18"/>
              </w:rPr>
              <w:t>0.70</w:t>
            </w:r>
          </w:p>
        </w:tc>
      </w:tr>
      <w:tr>
        <w:tc>
          <w:tcPr>
            <w:tcW w:type="dxa" w:w="1255"/>
          </w:tcPr>
          <w:p>
            <w:pPr>
              <w:jc w:val="left"/>
            </w:pPr>
            <w:r>
              <w:rPr>
                <w:b/>
                <w:sz w:val="18"/>
              </w:rPr>
              <w:t>TLT</w:t>
            </w:r>
          </w:p>
        </w:tc>
        <w:tc>
          <w:tcPr>
            <w:tcW w:type="dxa" w:w="1255"/>
          </w:tcPr>
          <w:p>
            <w:pPr>
              <w:jc w:val="center"/>
            </w:pPr>
            <w:r>
              <w:rPr>
                <w:b/>
                <w:sz w:val="18"/>
              </w:rPr>
              <w:t>$10.4M</w:t>
            </w:r>
          </w:p>
        </w:tc>
        <w:tc>
          <w:tcPr>
            <w:tcW w:type="dxa" w:w="1255"/>
          </w:tcPr>
          <w:p>
            <w:pPr>
              <w:jc w:val="center"/>
            </w:pPr>
            <w:r>
              <w:rPr>
                <w:b/>
                <w:sz w:val="18"/>
              </w:rPr>
              <w:t>+32.1%</w:t>
            </w:r>
          </w:p>
        </w:tc>
        <w:tc>
          <w:tcPr>
            <w:tcW w:type="dxa" w:w="1255"/>
          </w:tcPr>
          <w:p>
            <w:pPr>
              <w:jc w:val="center"/>
            </w:pPr>
            <w:r>
              <w:rPr>
                <w:b/>
                <w:sz w:val="18"/>
              </w:rPr>
              <w:t>0.88</w:t>
            </w:r>
          </w:p>
        </w:tc>
        <w:tc>
          <w:tcPr>
            <w:tcW w:type="dxa" w:w="1255"/>
          </w:tcPr>
          <w:p>
            <w:pPr>
              <w:jc w:val="center"/>
            </w:pPr>
            <w:r>
              <w:rPr>
                <w:b/>
                <w:sz w:val="18"/>
              </w:rPr>
              <w:t>1.12</w:t>
            </w:r>
          </w:p>
        </w:tc>
        <w:tc>
          <w:tcPr>
            <w:tcW w:type="dxa" w:w="1255"/>
          </w:tcPr>
          <w:p>
            <w:pPr>
              <w:jc w:val="center"/>
            </w:pPr>
            <w:r>
              <w:rPr>
                <w:b/>
                <w:sz w:val="18"/>
              </w:rPr>
              <w:t>-55.3%</w:t>
            </w:r>
          </w:p>
        </w:tc>
        <w:tc>
          <w:tcPr>
            <w:tcW w:type="dxa" w:w="1255"/>
          </w:tcPr>
          <w:p>
            <w:pPr>
              <w:jc w:val="center"/>
            </w:pPr>
            <w:r>
              <w:rPr>
                <w:b/>
                <w:sz w:val="18"/>
              </w:rPr>
              <w:t>0.56</w:t>
            </w:r>
          </w:p>
        </w:tc>
      </w:tr>
      <w:tr>
        <w:tc>
          <w:tcPr>
            <w:tcW w:type="dxa" w:w="1255"/>
          </w:tcPr>
          <w:p>
            <w:pPr>
              <w:jc w:val="left"/>
            </w:pPr>
            <w:r>
              <w:rPr>
                <w:sz w:val="18"/>
              </w:rPr>
              <w:t>TMF</w:t>
            </w:r>
          </w:p>
        </w:tc>
        <w:tc>
          <w:tcPr>
            <w:tcW w:type="dxa" w:w="1255"/>
          </w:tcPr>
          <w:p>
            <w:pPr>
              <w:jc w:val="center"/>
            </w:pPr>
            <w:r>
              <w:rPr>
                <w:sz w:val="18"/>
              </w:rPr>
              <w:t>$11.3M</w:t>
            </w:r>
          </w:p>
        </w:tc>
        <w:tc>
          <w:tcPr>
            <w:tcW w:type="dxa" w:w="1255"/>
          </w:tcPr>
          <w:p>
            <w:pPr>
              <w:jc w:val="center"/>
            </w:pPr>
            <w:r>
              <w:rPr>
                <w:sz w:val="18"/>
              </w:rPr>
              <w:t>+32.8%</w:t>
            </w:r>
          </w:p>
        </w:tc>
        <w:tc>
          <w:tcPr>
            <w:tcW w:type="dxa" w:w="1255"/>
          </w:tcPr>
          <w:p>
            <w:pPr>
              <w:jc w:val="center"/>
            </w:pPr>
            <w:r>
              <w:rPr>
                <w:sz w:val="18"/>
              </w:rPr>
              <w:t>0.83</w:t>
            </w:r>
          </w:p>
        </w:tc>
        <w:tc>
          <w:tcPr>
            <w:tcW w:type="dxa" w:w="1255"/>
          </w:tcPr>
          <w:p>
            <w:pPr>
              <w:jc w:val="center"/>
            </w:pPr>
            <w:r>
              <w:rPr>
                <w:sz w:val="18"/>
              </w:rPr>
              <w:t>1.08</w:t>
            </w:r>
          </w:p>
        </w:tc>
        <w:tc>
          <w:tcPr>
            <w:tcW w:type="dxa" w:w="1255"/>
          </w:tcPr>
          <w:p>
            <w:pPr>
              <w:jc w:val="center"/>
            </w:pPr>
            <w:r>
              <w:rPr>
                <w:sz w:val="18"/>
              </w:rPr>
              <w:t>-76.7%</w:t>
            </w:r>
          </w:p>
        </w:tc>
        <w:tc>
          <w:tcPr>
            <w:tcW w:type="dxa" w:w="1255"/>
          </w:tcPr>
          <w:p>
            <w:pPr>
              <w:jc w:val="center"/>
            </w:pPr>
            <w:r>
              <w:rPr>
                <w:sz w:val="18"/>
              </w:rPr>
              <w:t>0.41</w:t>
            </w:r>
          </w:p>
        </w:tc>
      </w:tr>
      <w:tr>
        <w:tc>
          <w:tcPr>
            <w:tcW w:type="dxa" w:w="1255"/>
          </w:tcPr>
          <w:p>
            <w:pPr>
              <w:jc w:val="left"/>
            </w:pPr>
            <w:r>
              <w:rPr>
                <w:sz w:val="18"/>
              </w:rPr>
              <w:t>*UPRO B&amp;H*</w:t>
            </w:r>
          </w:p>
        </w:tc>
        <w:tc>
          <w:tcPr>
            <w:tcW w:type="dxa" w:w="1255"/>
          </w:tcPr>
          <w:p>
            <w:pPr>
              <w:jc w:val="center"/>
            </w:pPr>
            <w:r>
              <w:rPr>
                <w:sz w:val="18"/>
              </w:rPr>
              <w:t>*$9.5M*</w:t>
            </w:r>
          </w:p>
        </w:tc>
        <w:tc>
          <w:tcPr>
            <w:tcW w:type="dxa" w:w="1255"/>
          </w:tcPr>
          <w:p>
            <w:pPr>
              <w:jc w:val="center"/>
            </w:pPr>
            <w:r>
              <w:rPr>
                <w:sz w:val="18"/>
              </w:rPr>
              <w:t>*+31.4%*</w:t>
            </w:r>
          </w:p>
        </w:tc>
        <w:tc>
          <w:tcPr>
            <w:tcW w:type="dxa" w:w="1255"/>
          </w:tcPr>
          <w:p>
            <w:pPr>
              <w:jc w:val="center"/>
            </w:pPr>
            <w:r>
              <w:rPr>
                <w:sz w:val="18"/>
              </w:rPr>
              <w:t>*0.77*</w:t>
            </w:r>
          </w:p>
        </w:tc>
        <w:tc>
          <w:tcPr>
            <w:tcW w:type="dxa" w:w="1255"/>
          </w:tcPr>
          <w:p>
            <w:pPr>
              <w:jc w:val="center"/>
            </w:pPr>
            <w:r>
              <w:rPr>
                <w:sz w:val="18"/>
              </w:rPr>
              <w:t>*0.95*</w:t>
            </w:r>
          </w:p>
        </w:tc>
        <w:tc>
          <w:tcPr>
            <w:tcW w:type="dxa" w:w="1255"/>
          </w:tcPr>
          <w:p>
            <w:pPr>
              <w:jc w:val="center"/>
            </w:pPr>
            <w:r>
              <w:rPr>
                <w:sz w:val="18"/>
              </w:rPr>
              <w:t>*-76.8%*</w:t>
            </w:r>
          </w:p>
        </w:tc>
        <w:tc>
          <w:tcPr>
            <w:tcW w:type="dxa" w:w="1255"/>
          </w:tcPr>
          <w:p>
            <w:pPr>
              <w:jc w:val="center"/>
            </w:pPr>
            <w:r>
              <w:rPr>
                <w:sz w:val="18"/>
              </w:rPr>
              <w:t>*0.39*</w:t>
            </w:r>
          </w:p>
        </w:tc>
      </w:tr>
    </w:tbl>
    <w:p/>
    <w:p>
      <w:r>
        <w:t>Both bond variants beat the T-bill baseline on terminal wealth and Sharpe: TLT ($10.4M) and TMF ($11.3M) versus T-bills' $8.4M. TLT is the standout on risk-adjusted metrics. It achieves the highest Sharpe ratio in the entire analysis (0.88) with a manageable -55.3% max drawdown. The Sortino ratio (1.12) is also the best, reflecting particularly good downside risk management. TMF edges TLT on terminal wealth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(zero interest-rate policy)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14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 with a -77% max drawdown nearly matching UPRO buy-and-hold.</w:t>
      </w:r>
    </w:p>
    <w:p>
      <w:pPr>
        <w:jc w:val="center"/>
      </w:pPr>
      <w:r>
        <w:drawing>
          <wp:inline xmlns:a="http://schemas.openxmlformats.org/drawingml/2006/main" xmlns:pic="http://schemas.openxmlformats.org/drawingml/2006/picture">
            <wp:extent cx="5486400" cy="3267431"/>
            <wp:docPr id="11" name="Picture 11"/>
            <wp:cNvGraphicFramePr>
              <a:graphicFrameLocks noChangeAspect="1"/>
            </wp:cNvGraphicFramePr>
            <a:graphic>
              <a:graphicData uri="http://schemas.openxmlformats.org/drawingml/2006/picture">
                <pic:pic>
                  <pic:nvPicPr>
                    <pic:cNvPr id="0" name="09_bond_cash.png"/>
                    <pic:cNvPicPr/>
                  </pic:nvPicPr>
                  <pic:blipFill>
                    <a:blip r:embed="rId19"/>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(31 total signals)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(~15 complete exit/re-entry cycles)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(0.88)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7,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+56.1% since re-entry.</w:t>
      </w:r>
    </w:p>
    <w:p>
      <w:r>
        <w:t>UPRO's all-time high was $122.23 on January 12, 2026. The current price of $108.16 represents a -11.5% drawdown from that peak -- a noticeable decline but still well below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At $108.16, the current drawdown is -11.5%, so there's still a substantial buffer before the exit would activate.</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(0.74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Dividends.</w:t>
      </w:r>
      <w:r>
        <w:t xml:space="preserve"> All prices in this analysis are dividend-adjusted (Yahoo Finance auto-adjust), meaning returns include reinvested distributions for all instruments. SPY pays approximately 1.2% annually in dividends; UPRO pays smaller quarterly distributions (~0.8% annually). Both are captured in the data. When a timing strategy is holding UPRO, returns include UPRO's distributions; when in cash, the portfolio earns the T-bill rate. This is an apples-to-apples comparison: both UPRO buy-and-hold and the timing strategies reflect total returns.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0.85 Sharpe ratio while cutting the maximum drawdown from -77% to -42%.</w:t>
      </w:r>
    </w:p>
    <w:p>
      <w:r>
        <w:t>Parking idle cash in TLT during cooling periods pushes the result further: a 0.88 Sharpe ratio, $10.4M terminal wealth (beating buy-and-hold's $9.5M), and a -55% max drawdown. Block-bootstrap analysis (10,000 iterations, 20-day blocks) confirms the TLT variant's Sharpe advantage is robust: median bootstrapped Sharpe of 0.92 vs 0.89 for T-bill cash, with a 100% probability of positive Sharpe across all bootstrap samples. The TLT variant exploits the flight-to-quality effect -- when stocks crash, long-term Treasuries tend to rally -- turning the cooling period from dead time into a productive hedge.</w:t>
      </w:r>
    </w:p>
    <w:p>
      <w:r>
        <w:t>The trade-off is explicit. The T-bill variant caps max drawdown at -42% but gives up about 12% of buy-and-hold's terminal wealth. The TLT variant beats buy-and-hold on wealth but accepts a -55% max drawdown. Pick the one that matches your risk tolerance.</w:t>
      </w:r>
    </w:p>
    <w:p>
      <w:r>
        <w:t>Robustness testing paints a mixed but honest picture. On the encouraging side: the DD25%/Cool40 parameters sit in a broad plateau of strong performance (not a fragile peak), walk-forward validation suggests the approach works out-of-sample, and exit diagnostics confirm the 25% trigger identifies genuine SPY stress episodes. On the cautionary side: block-bootstrap analysis shows the strategy beats buy-and-hold on Sharpe in only 36% of randomly reordered return histories, meaning the Sharpe advantage is regime-conditional -- it depends on the specific pattern of bull runs followed by sharp corrections that characterized 2009-2026. The strategy is a useful practical overlay for regimes resembling recent history, not evidence of a regime-invariant alpha source.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1950 (for extended S&amp;P 500 analysis) and June 2009 (for UPRO-specific results)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