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~$9.6M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0.86 Sharpe ratio (vs 0.78 for UPRO buy-and-hold and 0.85 for plain SPY) and cut the maximum drawdown from -77% to -42%, at the cost of about 12% less terminal wealth. Walk-forward validation, parameter heatmaps, and a synthetic pre-2009 stress test suggest the parameters are not a fragile optimum, but block-bootstrap analysis shows the Sharpe advantage depends materially on the sequencing of returns -- making this a useful practical overlay for recent-style regimes, not a universal improvement.</w:t>
      </w:r>
    </w:p>
    <w:p>
      <w:pPr>
        <w:pStyle w:val="ListBullet"/>
      </w:pPr>
      <w:r>
        <w:t>An enhancement: parking idle cash in TLT (long-term Treasuries) instead of T-bills during cooling periods pushes the Sharpe to 0.89 and terminal wealth to $11.1M -- actually beating UPRO buy-and-hold -- by harvesting flight-to-quality rallies when stocks crash.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$9.6 million, a 31.5%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31.5% CAGR turns $100K into nearly 100x over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Treasury bill rate (^IRX). The quoted annual yield is converted to a daily rate assuming 252 trading days per year and compounded on each trading day when the strategy is in cash.</w:t>
      </w:r>
    </w:p>
    <w:p>
      <w:pPr>
        <w:pStyle w:val="ListBullet"/>
      </w:pPr>
      <w:r>
        <w:rPr>
          <w:b/>
        </w:rPr>
        <w:t>Slippage:</w:t>
      </w:r>
      <w:r>
        <w:t xml:space="preserve"> Not modeled. Given the liquidity of the instruments tested (UPRO, SPY, TLT), the impact should be small relative to the magnitude of the results, though open-auction spreads can widen during stress periods.</w:t>
      </w:r>
    </w:p>
    <w:p>
      <w:pPr>
        <w:pStyle w:val="ListBullet"/>
      </w:pPr>
      <w:r>
        <w:rPr>
          <w:b/>
        </w:rPr>
        <w:t>No intraday stops:</w:t>
      </w:r>
      <w:r>
        <w:t xml:space="preserve"> All signals are end-of-day close-based. No intraday monitoring is required. All-time highs and drawdowns are measured on closing prices, not intraday.</w:t>
      </w:r>
    </w:p>
    <w:p>
      <w:pPr>
        <w:pStyle w:val="ListBullet"/>
      </w:pPr>
      <w:r>
        <w:rPr>
          <w:b/>
        </w:rPr>
        <w:t>Sharpe and Sortino ratios:</w:t>
      </w:r>
      <w:r>
        <w:t xml:space="preserve"> Computed using excess returns over the average 13-week T-bill rate (^IRX) prevailing during the strategy's time period, annualized. Calmar ratio uses excess CAGR over the same average risk-free rate.</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0.78</w:t>
            </w:r>
          </w:p>
        </w:tc>
      </w:tr>
      <w:tr>
        <w:tc>
          <w:tcPr>
            <w:tcW w:type="dxa" w:w="4392"/>
          </w:tcPr>
          <w:p>
            <w:pPr>
              <w:jc w:val="left"/>
            </w:pPr>
            <w:r>
              <w:rPr>
                <w:sz w:val="18"/>
              </w:rPr>
              <w:t>Sortino Ratio</w:t>
            </w:r>
          </w:p>
        </w:tc>
        <w:tc>
          <w:tcPr>
            <w:tcW w:type="dxa" w:w="4392"/>
          </w:tcPr>
          <w:p>
            <w:pPr>
              <w:jc w:val="center"/>
            </w:pPr>
            <w:r>
              <w:rPr>
                <w:sz w:val="18"/>
              </w:rPr>
              <w:t>0.96</w:t>
            </w:r>
          </w:p>
        </w:tc>
      </w:tr>
      <w:tr>
        <w:tc>
          <w:tcPr>
            <w:tcW w:type="dxa" w:w="4392"/>
          </w:tcPr>
          <w:p>
            <w:pPr>
              <w:jc w:val="left"/>
            </w:pPr>
            <w:r>
              <w:rPr>
                <w:sz w:val="18"/>
              </w:rPr>
              <w:t>Calmar Ratio</w:t>
            </w:r>
          </w:p>
        </w:tc>
        <w:tc>
          <w:tcPr>
            <w:tcW w:type="dxa" w:w="4392"/>
          </w:tcPr>
          <w:p>
            <w:pPr>
              <w:jc w:val="center"/>
            </w:pPr>
            <w:r>
              <w:rPr>
                <w:sz w:val="18"/>
              </w:rPr>
              <w:t>0.40</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 xml:space="preserve">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 (For comparison, plain SPY buy-and-hold over the same period has a 0.82 Sharpe -- UPRO's 3x leverage actually </w:t>
      </w:r>
      <w:r>
        <w:rPr>
          <w:i/>
        </w:rPr>
        <w:t>reduces</w:t>
      </w:r>
      <w:r>
        <w:t xml:space="preserve"> risk-adjusted returns while tripling the volatility.)</w:t>
      </w:r>
    </w:p>
    <w:p>
      <w:r>
        <w:t xml:space="preserve">But an important caveat that deserves emphasis: this entire test period is overwhelmingly bullish. UPRO's inception happened to coincide with the beginning of the longest bull market in American history. Every timing strategy that says "hold UPRO most of the time" will look great in a period that is almost entirely up. There is no actual UPRO data for 2000-2009, which would have been devastating. The 2009-2026 period includes drawdowns, but they were all followed by sharp recoveries -- a pattern that may not repeat. Results from this period should be treated as evidence of what </w:t>
      </w:r>
      <w:r>
        <w:rPr>
          <w:i/>
        </w:rPr>
        <w:t>has</w:t>
      </w:r>
      <w:r>
        <w:t xml:space="preserve"> worked, not a guarantee of what </w:t>
      </w:r>
      <w:r>
        <w:rPr>
          <w:i/>
        </w:rPr>
        <w:t>will</w:t>
      </w:r>
      <w:r>
        <w:t xml:space="preserve"> work. (I address the pre-2009 gap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0.82</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0.87</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0.64</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0.76</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0.78</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The 1950-1974 bull market had grown the account substantially, but the static leverage ratio had also drifted -- accumulated gains reduced the effective leverage well below 3x, yet a severe enough decline still breached the 25% maintenance margin requirement. Once liquidated at $269K, the account sat in cash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0.72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0.46.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0.83. Sortino: 1.08.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Best Risk-Adjusted Performer</w:t>
      </w:r>
    </w:p>
    <w:p>
      <w:r>
        <w:t>This is the simplest concept and it produced the strongest risk-adjusted results in this backtest.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0.48</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0.71</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0.70</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0.58</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0.66</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0.40</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0.85</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0.76</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0.53</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0.83</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0.65</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 But it's worth noting that DD25%/Cool40 is representative of a family of competitive parameters -- the heatmap below shows that DD20-25%/Cool20-40 all produce Sharpe ratios above 0.75. The specific "best" parameters would shift with a different test period. I use DD25%/Cool40 throughout as a concrete example, not as a claim that these exact numbers are uniquely optimal.</w:t>
      </w:r>
    </w:p>
    <w:p>
      <w:r>
        <w:t>Why it works: the 25% threshold is wide enough to avoid whipsaws from normal UPRO volatility (this is a 3x fund -- 10-15% pullbacks happen routinely) but catches genuine bear markets. There's a deeper mechanism at work here. Because UPRO is 3x leveraged, its price amplifies not just returns but volatility itself. A 25% UPRO drawdown typically corresponds to a high-single-digit or low-double-digit decline in SPY -- roughly the range where ordinary corrections begin to evolve into true market-stress regimes marked by elevated volatility, forced deleveraging, and unstable price action. In that sense, the rule may function less as a traditional trend-following signal and more as a volatility-regime detector for a leveraged ETF. (I explore this further in the robustness section below.)</w:t>
      </w:r>
    </w:p>
    <w:p>
      <w:r>
        <w:t>The 40-day cooling period forces patience. You don't buy the first dead-cat bounce. You wait for the storm to pass. This works partly because volatility clusters: after a large drawdown, the probability of continued violent price action remains elevated for weeks. The cooling period is a crude but effective way of staying out until that turbulence subsides.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improved from 0.78 to 0.86 over this test period.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0.56 Sharpe, -61.1% max DD. Composite 3-of-3: $893K, +14.1% CAGR, 0.56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0.78</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0.72</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0.46</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0.83</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0.56</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preserved 88% of buy-and-hold's terminal value while cutting the maximum drawdown nearly in half over this test period. It was the best risk-adjusted performer in the analysis -- though, as noted above, nearby parameter combinations produced similar results.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(0.83)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These parameters were selected because they produced the best risk-adjusted results on 2009-2026 data -- a period dominated by a secular bull market with sharp but temporary drawdowns. The strategy's historical outperformance is real, but whether it will persist in future regimes (prolonged stagflation, a multi-year bear market, or a fundamentally different rate environment) is unknowable.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0.86 Sharpe sits at the peak of a broad green plateau. Adjacent cells DD20-25%/Cool30-40 all produce Sharpe ratios above 0.75. You can shift the threshold by 5 percentage points or the cooling period by 10 days in either direction and still get strong risk-adjusted performance. This is not a fragile optimum -- it's a broad plateau of strong performance within this test period.</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0.76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0.76</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price data (dividends excluded, consistent with the rest of this analysis) going back to 1993, with a 0.89% expense ratio drag. This isn't a perfect proxy (it ignores swap costs, dividend effects,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0.62 Sharpe vs 0.58.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0.86</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0.77</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0.67</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0.61</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buffered variant: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+16.3%</w:t>
            </w:r>
          </w:p>
        </w:tc>
        <w:tc>
          <w:tcPr>
            <w:tcW w:type="dxa" w:w="1255"/>
          </w:tcPr>
          <w:p>
            <w:pPr>
              <w:jc w:val="center"/>
            </w:pPr>
            <w:r>
              <w:rPr>
                <w:sz w:val="18"/>
              </w:rPr>
              <w:t>0.57</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$2.7M</w:t>
            </w:r>
          </w:p>
        </w:tc>
        <w:tc>
          <w:tcPr>
            <w:tcW w:type="dxa" w:w="1255"/>
          </w:tcPr>
          <w:p>
            <w:pPr>
              <w:jc w:val="center"/>
            </w:pPr>
            <w:r>
              <w:rPr>
                <w:sz w:val="18"/>
              </w:rPr>
              <w:t>+22.0%</w:t>
            </w:r>
          </w:p>
        </w:tc>
        <w:tc>
          <w:tcPr>
            <w:tcW w:type="dxa" w:w="1255"/>
          </w:tcPr>
          <w:p>
            <w:pPr>
              <w:jc w:val="center"/>
            </w:pPr>
            <w:r>
              <w:rPr>
                <w:sz w:val="18"/>
              </w:rPr>
              <w:t>0.73</w:t>
            </w:r>
          </w:p>
        </w:tc>
        <w:tc>
          <w:tcPr>
            <w:tcW w:type="dxa" w:w="1255"/>
          </w:tcPr>
          <w:p>
            <w:pPr>
              <w:jc w:val="center"/>
            </w:pPr>
            <w:r>
              <w:rPr>
                <w:sz w:val="18"/>
              </w:rPr>
              <w:t>-46.0%</w:t>
            </w:r>
          </w:p>
        </w:tc>
        <w:tc>
          <w:tcPr>
            <w:tcW w:type="dxa" w:w="1255"/>
          </w:tcPr>
          <w:p>
            <w:pPr>
              <w:jc w:val="center"/>
            </w:pPr>
            <w:r>
              <w:rPr>
                <w:sz w:val="18"/>
              </w:rPr>
              <w:t>167</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0.50</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$836K</w:t>
            </w:r>
          </w:p>
        </w:tc>
        <w:tc>
          <w:tcPr>
            <w:tcW w:type="dxa" w:w="1255"/>
          </w:tcPr>
          <w:p>
            <w:pPr>
              <w:jc w:val="center"/>
            </w:pPr>
            <w:r>
              <w:rPr>
                <w:sz w:val="18"/>
              </w:rPr>
              <w:t>+13.6%</w:t>
            </w:r>
          </w:p>
        </w:tc>
        <w:tc>
          <w:tcPr>
            <w:tcW w:type="dxa" w:w="1255"/>
          </w:tcPr>
          <w:p>
            <w:pPr>
              <w:jc w:val="center"/>
            </w:pPr>
            <w:r>
              <w:rPr>
                <w:sz w:val="18"/>
              </w:rPr>
              <w:t>0.50</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22.0% CAGR with a 0.73 Sharpe and -46.0% max drawdown -- but it still trails the drawdown exit by 9 percentage points of CAGR with a worse Sharpe and worse max drawdown. SMA50 whipsaws excessively (282 trades over 16 years) and bleeds returns through false signals. The 2% buffer variant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2"/>
      </w:pPr>
      <w:r>
        <w:t>Why 25% May Not Be Arbitrary</w:t>
      </w:r>
    </w:p>
    <w:p>
      <w:r>
        <w:t>One potential concern is that 25% is simply a round number that happened to work on this dataset. But there's a structural reason it may be well-calibrated for a 3x instrument.</w:t>
      </w:r>
    </w:p>
    <w:p>
      <w:r>
        <w:t>Because UPRO magnifies SPY's moves by roughly 3x, a 25% UPRO drawdown typically corresponds to a high-single-digit or low-double-digit decline in SPY. To test this directly, I examined the SPY drawdown and VIX level on each of the 15 exit signal dates: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Exit Date</w:t>
            </w:r>
          </w:p>
        </w:tc>
        <w:tc>
          <w:tcPr>
            <w:tcW w:type="dxa" w:w="2196"/>
          </w:tcPr>
          <w:p>
            <w:pPr>
              <w:jc w:val="center"/>
            </w:pPr>
            <w:r>
              <w:rPr>
                <w:b/>
                <w:sz w:val="18"/>
              </w:rPr>
              <w:t>UPRO DD</w:t>
            </w:r>
          </w:p>
        </w:tc>
        <w:tc>
          <w:tcPr>
            <w:tcW w:type="dxa" w:w="2196"/>
          </w:tcPr>
          <w:p>
            <w:pPr>
              <w:jc w:val="center"/>
            </w:pPr>
            <w:r>
              <w:rPr>
                <w:b/>
                <w:sz w:val="18"/>
              </w:rPr>
              <w:t>SPY DD</w:t>
            </w:r>
          </w:p>
        </w:tc>
        <w:tc>
          <w:tcPr>
            <w:tcW w:type="dxa" w:w="2196"/>
          </w:tcPr>
          <w:p>
            <w:pPr>
              <w:jc w:val="center"/>
            </w:pPr>
            <w:r>
              <w:rPr>
                <w:b/>
                <w:sz w:val="18"/>
              </w:rPr>
              <w:t>VIX</w:t>
            </w:r>
          </w:p>
        </w:tc>
      </w:tr>
      <w:tr>
        <w:tc>
          <w:tcPr>
            <w:tcW w:type="dxa" w:w="2196"/>
          </w:tcPr>
          <w:p>
            <w:pPr>
              <w:jc w:val="left"/>
            </w:pPr>
            <w:r>
              <w:rPr>
                <w:sz w:val="18"/>
              </w:rPr>
              <w:t>May 2010</w:t>
            </w:r>
          </w:p>
        </w:tc>
        <w:tc>
          <w:tcPr>
            <w:tcW w:type="dxa" w:w="2196"/>
          </w:tcPr>
          <w:p>
            <w:pPr>
              <w:jc w:val="center"/>
            </w:pPr>
            <w:r>
              <w:rPr>
                <w:sz w:val="18"/>
              </w:rPr>
              <w:t>-32.9%</w:t>
            </w:r>
          </w:p>
        </w:tc>
        <w:tc>
          <w:tcPr>
            <w:tcW w:type="dxa" w:w="2196"/>
          </w:tcPr>
          <w:p>
            <w:pPr>
              <w:jc w:val="center"/>
            </w:pPr>
            <w:r>
              <w:rPr>
                <w:sz w:val="18"/>
              </w:rPr>
              <w:t>-11.7%</w:t>
            </w:r>
          </w:p>
        </w:tc>
        <w:tc>
          <w:tcPr>
            <w:tcW w:type="dxa" w:w="2196"/>
          </w:tcPr>
          <w:p>
            <w:pPr>
              <w:jc w:val="center"/>
            </w:pPr>
            <w:r>
              <w:rPr>
                <w:sz w:val="18"/>
              </w:rPr>
              <w:t>45.8</w:t>
            </w:r>
          </w:p>
        </w:tc>
      </w:tr>
      <w:tr>
        <w:tc>
          <w:tcPr>
            <w:tcW w:type="dxa" w:w="2196"/>
          </w:tcPr>
          <w:p>
            <w:pPr>
              <w:jc w:val="left"/>
            </w:pPr>
            <w:r>
              <w:rPr>
                <w:sz w:val="18"/>
              </w:rPr>
              <w:t>Aug 2011</w:t>
            </w:r>
          </w:p>
        </w:tc>
        <w:tc>
          <w:tcPr>
            <w:tcW w:type="dxa" w:w="2196"/>
          </w:tcPr>
          <w:p>
            <w:pPr>
              <w:jc w:val="center"/>
            </w:pPr>
            <w:r>
              <w:rPr>
                <w:sz w:val="18"/>
              </w:rPr>
              <w:t>-32.7%</w:t>
            </w:r>
          </w:p>
        </w:tc>
        <w:tc>
          <w:tcPr>
            <w:tcW w:type="dxa" w:w="2196"/>
          </w:tcPr>
          <w:p>
            <w:pPr>
              <w:jc w:val="center"/>
            </w:pPr>
            <w:r>
              <w:rPr>
                <w:sz w:val="18"/>
              </w:rPr>
              <w:t>-11.4%</w:t>
            </w:r>
          </w:p>
        </w:tc>
        <w:tc>
          <w:tcPr>
            <w:tcW w:type="dxa" w:w="2196"/>
          </w:tcPr>
          <w:p>
            <w:pPr>
              <w:jc w:val="center"/>
            </w:pPr>
            <w:r>
              <w:rPr>
                <w:sz w:val="18"/>
              </w:rPr>
              <w:t>31.7</w:t>
            </w:r>
          </w:p>
        </w:tc>
      </w:tr>
      <w:tr>
        <w:tc>
          <w:tcPr>
            <w:tcW w:type="dxa" w:w="2196"/>
          </w:tcPr>
          <w:p>
            <w:pPr>
              <w:jc w:val="left"/>
            </w:pPr>
            <w:r>
              <w:rPr>
                <w:sz w:val="18"/>
              </w:rPr>
              <w:t>Nov 2011</w:t>
            </w:r>
          </w:p>
        </w:tc>
        <w:tc>
          <w:tcPr>
            <w:tcW w:type="dxa" w:w="2196"/>
          </w:tcPr>
          <w:p>
            <w:pPr>
              <w:jc w:val="center"/>
            </w:pPr>
            <w:r>
              <w:rPr>
                <w:sz w:val="18"/>
              </w:rPr>
              <w:t>-27.0%</w:t>
            </w:r>
          </w:p>
        </w:tc>
        <w:tc>
          <w:tcPr>
            <w:tcW w:type="dxa" w:w="2196"/>
          </w:tcPr>
          <w:p>
            <w:pPr>
              <w:jc w:val="center"/>
            </w:pPr>
            <w:r>
              <w:rPr>
                <w:sz w:val="18"/>
              </w:rPr>
              <w:t>-13.7%</w:t>
            </w:r>
          </w:p>
        </w:tc>
        <w:tc>
          <w:tcPr>
            <w:tcW w:type="dxa" w:w="2196"/>
          </w:tcPr>
          <w:p>
            <w:pPr>
              <w:jc w:val="center"/>
            </w:pPr>
            <w:r>
              <w:rPr>
                <w:sz w:val="18"/>
              </w:rPr>
              <w:t>34.0</w:t>
            </w:r>
          </w:p>
        </w:tc>
      </w:tr>
      <w:tr>
        <w:tc>
          <w:tcPr>
            <w:tcW w:type="dxa" w:w="2196"/>
          </w:tcPr>
          <w:p>
            <w:pPr>
              <w:jc w:val="left"/>
            </w:pPr>
            <w:r>
              <w:rPr>
                <w:sz w:val="18"/>
              </w:rPr>
              <w:t>Jun 2012</w:t>
            </w:r>
          </w:p>
        </w:tc>
        <w:tc>
          <w:tcPr>
            <w:tcW w:type="dxa" w:w="2196"/>
          </w:tcPr>
          <w:p>
            <w:pPr>
              <w:jc w:val="center"/>
            </w:pPr>
            <w:r>
              <w:rPr>
                <w:sz w:val="18"/>
              </w:rPr>
              <w:t>-27.2%</w:t>
            </w:r>
          </w:p>
        </w:tc>
        <w:tc>
          <w:tcPr>
            <w:tcW w:type="dxa" w:w="2196"/>
          </w:tcPr>
          <w:p>
            <w:pPr>
              <w:jc w:val="center"/>
            </w:pPr>
            <w:r>
              <w:rPr>
                <w:sz w:val="18"/>
              </w:rPr>
              <w:t>-9.6%</w:t>
            </w:r>
          </w:p>
        </w:tc>
        <w:tc>
          <w:tcPr>
            <w:tcW w:type="dxa" w:w="2196"/>
          </w:tcPr>
          <w:p>
            <w:pPr>
              <w:jc w:val="center"/>
            </w:pPr>
            <w:r>
              <w:rPr>
                <w:sz w:val="18"/>
              </w:rPr>
              <w:t>26.7</w:t>
            </w:r>
          </w:p>
        </w:tc>
      </w:tr>
      <w:tr>
        <w:tc>
          <w:tcPr>
            <w:tcW w:type="dxa" w:w="2196"/>
          </w:tcPr>
          <w:p>
            <w:pPr>
              <w:jc w:val="left"/>
            </w:pPr>
            <w:r>
              <w:rPr>
                <w:sz w:val="18"/>
              </w:rPr>
              <w:t>Aug 2015</w:t>
            </w:r>
          </w:p>
        </w:tc>
        <w:tc>
          <w:tcPr>
            <w:tcW w:type="dxa" w:w="2196"/>
          </w:tcPr>
          <w:p>
            <w:pPr>
              <w:jc w:val="center"/>
            </w:pPr>
            <w:r>
              <w:rPr>
                <w:sz w:val="18"/>
              </w:rPr>
              <w:t>-30.1%</w:t>
            </w:r>
          </w:p>
        </w:tc>
        <w:tc>
          <w:tcPr>
            <w:tcW w:type="dxa" w:w="2196"/>
          </w:tcPr>
          <w:p>
            <w:pPr>
              <w:jc w:val="center"/>
            </w:pPr>
            <w:r>
              <w:rPr>
                <w:sz w:val="18"/>
              </w:rPr>
              <w:t>-10.9%</w:t>
            </w:r>
          </w:p>
        </w:tc>
        <w:tc>
          <w:tcPr>
            <w:tcW w:type="dxa" w:w="2196"/>
          </w:tcPr>
          <w:p>
            <w:pPr>
              <w:jc w:val="center"/>
            </w:pPr>
            <w:r>
              <w:rPr>
                <w:sz w:val="18"/>
              </w:rPr>
              <w:t>40.7</w:t>
            </w:r>
          </w:p>
        </w:tc>
      </w:tr>
      <w:tr>
        <w:tc>
          <w:tcPr>
            <w:tcW w:type="dxa" w:w="2196"/>
          </w:tcPr>
          <w:p>
            <w:pPr>
              <w:jc w:val="left"/>
            </w:pPr>
            <w:r>
              <w:rPr>
                <w:sz w:val="18"/>
              </w:rPr>
              <w:t>Jan 2016</w:t>
            </w:r>
          </w:p>
        </w:tc>
        <w:tc>
          <w:tcPr>
            <w:tcW w:type="dxa" w:w="2196"/>
          </w:tcPr>
          <w:p>
            <w:pPr>
              <w:jc w:val="center"/>
            </w:pPr>
            <w:r>
              <w:rPr>
                <w:sz w:val="18"/>
              </w:rPr>
              <w:t>-28.5%</w:t>
            </w:r>
          </w:p>
        </w:tc>
        <w:tc>
          <w:tcPr>
            <w:tcW w:type="dxa" w:w="2196"/>
          </w:tcPr>
          <w:p>
            <w:pPr>
              <w:jc w:val="center"/>
            </w:pPr>
            <w:r>
              <w:rPr>
                <w:sz w:val="18"/>
              </w:rPr>
              <w:t>-10.2%</w:t>
            </w:r>
          </w:p>
        </w:tc>
        <w:tc>
          <w:tcPr>
            <w:tcW w:type="dxa" w:w="2196"/>
          </w:tcPr>
          <w:p>
            <w:pPr>
              <w:jc w:val="center"/>
            </w:pPr>
            <w:r>
              <w:rPr>
                <w:sz w:val="18"/>
              </w:rPr>
              <w:t>25.2</w:t>
            </w:r>
          </w:p>
        </w:tc>
      </w:tr>
      <w:tr>
        <w:tc>
          <w:tcPr>
            <w:tcW w:type="dxa" w:w="2196"/>
          </w:tcPr>
          <w:p>
            <w:pPr>
              <w:jc w:val="left"/>
            </w:pPr>
            <w:r>
              <w:rPr>
                <w:sz w:val="18"/>
              </w:rPr>
              <w:t>Feb 2018</w:t>
            </w:r>
          </w:p>
        </w:tc>
        <w:tc>
          <w:tcPr>
            <w:tcW w:type="dxa" w:w="2196"/>
          </w:tcPr>
          <w:p>
            <w:pPr>
              <w:jc w:val="center"/>
            </w:pPr>
            <w:r>
              <w:rPr>
                <w:sz w:val="18"/>
              </w:rPr>
              <w:t>-28.3%</w:t>
            </w:r>
          </w:p>
        </w:tc>
        <w:tc>
          <w:tcPr>
            <w:tcW w:type="dxa" w:w="2196"/>
          </w:tcPr>
          <w:p>
            <w:pPr>
              <w:jc w:val="center"/>
            </w:pPr>
            <w:r>
              <w:rPr>
                <w:sz w:val="18"/>
              </w:rPr>
              <w:t>-10.1%</w:t>
            </w:r>
          </w:p>
        </w:tc>
        <w:tc>
          <w:tcPr>
            <w:tcW w:type="dxa" w:w="2196"/>
          </w:tcPr>
          <w:p>
            <w:pPr>
              <w:jc w:val="center"/>
            </w:pPr>
            <w:r>
              <w:rPr>
                <w:sz w:val="18"/>
              </w:rPr>
              <w:t>33.5</w:t>
            </w:r>
          </w:p>
        </w:tc>
      </w:tr>
      <w:tr>
        <w:tc>
          <w:tcPr>
            <w:tcW w:type="dxa" w:w="2196"/>
          </w:tcPr>
          <w:p>
            <w:pPr>
              <w:jc w:val="left"/>
            </w:pPr>
            <w:r>
              <w:rPr>
                <w:sz w:val="18"/>
              </w:rPr>
              <w:t>Oct 2018</w:t>
            </w:r>
          </w:p>
        </w:tc>
        <w:tc>
          <w:tcPr>
            <w:tcW w:type="dxa" w:w="2196"/>
          </w:tcPr>
          <w:p>
            <w:pPr>
              <w:jc w:val="center"/>
            </w:pPr>
            <w:r>
              <w:rPr>
                <w:sz w:val="18"/>
              </w:rPr>
              <w:t>-26.5%</w:t>
            </w:r>
          </w:p>
        </w:tc>
        <w:tc>
          <w:tcPr>
            <w:tcW w:type="dxa" w:w="2196"/>
          </w:tcPr>
          <w:p>
            <w:pPr>
              <w:jc w:val="center"/>
            </w:pPr>
            <w:r>
              <w:rPr>
                <w:sz w:val="18"/>
              </w:rPr>
              <w:t>-9.2%</w:t>
            </w:r>
          </w:p>
        </w:tc>
        <w:tc>
          <w:tcPr>
            <w:tcW w:type="dxa" w:w="2196"/>
          </w:tcPr>
          <w:p>
            <w:pPr>
              <w:jc w:val="center"/>
            </w:pPr>
            <w:r>
              <w:rPr>
                <w:sz w:val="18"/>
              </w:rPr>
              <w:t>25.2</w:t>
            </w:r>
          </w:p>
        </w:tc>
      </w:tr>
      <w:tr>
        <w:tc>
          <w:tcPr>
            <w:tcW w:type="dxa" w:w="2196"/>
          </w:tcPr>
          <w:p>
            <w:pPr>
              <w:jc w:val="left"/>
            </w:pPr>
            <w:r>
              <w:rPr>
                <w:sz w:val="18"/>
              </w:rPr>
              <w:t>Feb 2020</w:t>
            </w:r>
          </w:p>
        </w:tc>
        <w:tc>
          <w:tcPr>
            <w:tcW w:type="dxa" w:w="2196"/>
          </w:tcPr>
          <w:p>
            <w:pPr>
              <w:jc w:val="center"/>
            </w:pPr>
            <w:r>
              <w:rPr>
                <w:sz w:val="18"/>
              </w:rPr>
              <w:t>-33.1%</w:t>
            </w:r>
          </w:p>
        </w:tc>
        <w:tc>
          <w:tcPr>
            <w:tcW w:type="dxa" w:w="2196"/>
          </w:tcPr>
          <w:p>
            <w:pPr>
              <w:jc w:val="center"/>
            </w:pPr>
            <w:r>
              <w:rPr>
                <w:sz w:val="18"/>
              </w:rPr>
              <w:t>-12.1%</w:t>
            </w:r>
          </w:p>
        </w:tc>
        <w:tc>
          <w:tcPr>
            <w:tcW w:type="dxa" w:w="2196"/>
          </w:tcPr>
          <w:p>
            <w:pPr>
              <w:jc w:val="center"/>
            </w:pPr>
            <w:r>
              <w:rPr>
                <w:sz w:val="18"/>
              </w:rPr>
              <w:t>39.2</w:t>
            </w:r>
          </w:p>
        </w:tc>
      </w:tr>
      <w:tr>
        <w:tc>
          <w:tcPr>
            <w:tcW w:type="dxa" w:w="2196"/>
          </w:tcPr>
          <w:p>
            <w:pPr>
              <w:jc w:val="left"/>
            </w:pPr>
            <w:r>
              <w:rPr>
                <w:sz w:val="18"/>
              </w:rPr>
              <w:t>Sep 2020</w:t>
            </w:r>
          </w:p>
        </w:tc>
        <w:tc>
          <w:tcPr>
            <w:tcW w:type="dxa" w:w="2196"/>
          </w:tcPr>
          <w:p>
            <w:pPr>
              <w:jc w:val="center"/>
            </w:pPr>
            <w:r>
              <w:rPr>
                <w:sz w:val="18"/>
              </w:rPr>
              <w:t>-26.7%</w:t>
            </w:r>
          </w:p>
        </w:tc>
        <w:tc>
          <w:tcPr>
            <w:tcW w:type="dxa" w:w="2196"/>
          </w:tcPr>
          <w:p>
            <w:pPr>
              <w:jc w:val="center"/>
            </w:pPr>
            <w:r>
              <w:rPr>
                <w:sz w:val="18"/>
              </w:rPr>
              <w:t>-9.4%</w:t>
            </w:r>
          </w:p>
        </w:tc>
        <w:tc>
          <w:tcPr>
            <w:tcW w:type="dxa" w:w="2196"/>
          </w:tcPr>
          <w:p>
            <w:pPr>
              <w:jc w:val="center"/>
            </w:pPr>
            <w:r>
              <w:rPr>
                <w:sz w:val="18"/>
              </w:rPr>
              <w:t>28.6</w:t>
            </w:r>
          </w:p>
        </w:tc>
      </w:tr>
      <w:tr>
        <w:tc>
          <w:tcPr>
            <w:tcW w:type="dxa" w:w="2196"/>
          </w:tcPr>
          <w:p>
            <w:pPr>
              <w:jc w:val="left"/>
            </w:pPr>
            <w:r>
              <w:rPr>
                <w:sz w:val="18"/>
              </w:rPr>
              <w:t>Jan 2022</w:t>
            </w:r>
          </w:p>
        </w:tc>
        <w:tc>
          <w:tcPr>
            <w:tcW w:type="dxa" w:w="2196"/>
          </w:tcPr>
          <w:p>
            <w:pPr>
              <w:jc w:val="center"/>
            </w:pPr>
            <w:r>
              <w:rPr>
                <w:sz w:val="18"/>
              </w:rPr>
              <w:t>-25.3%</w:t>
            </w:r>
          </w:p>
        </w:tc>
        <w:tc>
          <w:tcPr>
            <w:tcW w:type="dxa" w:w="2196"/>
          </w:tcPr>
          <w:p>
            <w:pPr>
              <w:jc w:val="center"/>
            </w:pPr>
            <w:r>
              <w:rPr>
                <w:sz w:val="18"/>
              </w:rPr>
              <w:t>-9.1%</w:t>
            </w:r>
          </w:p>
        </w:tc>
        <w:tc>
          <w:tcPr>
            <w:tcW w:type="dxa" w:w="2196"/>
          </w:tcPr>
          <w:p>
            <w:pPr>
              <w:jc w:val="center"/>
            </w:pPr>
            <w:r>
              <w:rPr>
                <w:sz w:val="18"/>
              </w:rPr>
              <w:t>31.2</w:t>
            </w:r>
          </w:p>
        </w:tc>
      </w:tr>
      <w:tr>
        <w:tc>
          <w:tcPr>
            <w:tcW w:type="dxa" w:w="2196"/>
          </w:tcPr>
          <w:p>
            <w:pPr>
              <w:jc w:val="left"/>
            </w:pPr>
            <w:r>
              <w:rPr>
                <w:sz w:val="18"/>
              </w:rPr>
              <w:t>Apr 2022</w:t>
            </w:r>
          </w:p>
        </w:tc>
        <w:tc>
          <w:tcPr>
            <w:tcW w:type="dxa" w:w="2196"/>
          </w:tcPr>
          <w:p>
            <w:pPr>
              <w:jc w:val="center"/>
            </w:pPr>
            <w:r>
              <w:rPr>
                <w:sz w:val="18"/>
              </w:rPr>
              <w:t>-27.6%</w:t>
            </w:r>
          </w:p>
        </w:tc>
        <w:tc>
          <w:tcPr>
            <w:tcW w:type="dxa" w:w="2196"/>
          </w:tcPr>
          <w:p>
            <w:pPr>
              <w:jc w:val="center"/>
            </w:pPr>
            <w:r>
              <w:rPr>
                <w:sz w:val="18"/>
              </w:rPr>
              <w:t>-12.6%</w:t>
            </w:r>
          </w:p>
        </w:tc>
        <w:tc>
          <w:tcPr>
            <w:tcW w:type="dxa" w:w="2196"/>
          </w:tcPr>
          <w:p>
            <w:pPr>
              <w:jc w:val="center"/>
            </w:pPr>
            <w:r>
              <w:rPr>
                <w:sz w:val="18"/>
              </w:rPr>
              <w:t>33.5</w:t>
            </w:r>
          </w:p>
        </w:tc>
      </w:tr>
      <w:tr>
        <w:tc>
          <w:tcPr>
            <w:tcW w:type="dxa" w:w="2196"/>
          </w:tcPr>
          <w:p>
            <w:pPr>
              <w:jc w:val="left"/>
            </w:pPr>
            <w:r>
              <w:rPr>
                <w:sz w:val="18"/>
              </w:rPr>
              <w:t>Sep 2022</w:t>
            </w:r>
          </w:p>
        </w:tc>
        <w:tc>
          <w:tcPr>
            <w:tcW w:type="dxa" w:w="2196"/>
          </w:tcPr>
          <w:p>
            <w:pPr>
              <w:jc w:val="center"/>
            </w:pPr>
            <w:r>
              <w:rPr>
                <w:sz w:val="18"/>
              </w:rPr>
              <w:t>-25.7%</w:t>
            </w:r>
          </w:p>
        </w:tc>
        <w:tc>
          <w:tcPr>
            <w:tcW w:type="dxa" w:w="2196"/>
          </w:tcPr>
          <w:p>
            <w:pPr>
              <w:jc w:val="center"/>
            </w:pPr>
            <w:r>
              <w:rPr>
                <w:sz w:val="18"/>
              </w:rPr>
              <w:t>-17.6%</w:t>
            </w:r>
          </w:p>
        </w:tc>
        <w:tc>
          <w:tcPr>
            <w:tcW w:type="dxa" w:w="2196"/>
          </w:tcPr>
          <w:p>
            <w:pPr>
              <w:jc w:val="center"/>
            </w:pPr>
            <w:r>
              <w:rPr>
                <w:sz w:val="18"/>
              </w:rPr>
              <w:t>26.9</w:t>
            </w:r>
          </w:p>
        </w:tc>
      </w:tr>
      <w:tr>
        <w:tc>
          <w:tcPr>
            <w:tcW w:type="dxa" w:w="2196"/>
          </w:tcPr>
          <w:p>
            <w:pPr>
              <w:jc w:val="left"/>
            </w:pPr>
            <w:r>
              <w:rPr>
                <w:sz w:val="18"/>
              </w:rPr>
              <w:t>Oct 2023</w:t>
            </w:r>
          </w:p>
        </w:tc>
        <w:tc>
          <w:tcPr>
            <w:tcW w:type="dxa" w:w="2196"/>
          </w:tcPr>
          <w:p>
            <w:pPr>
              <w:jc w:val="center"/>
            </w:pPr>
            <w:r>
              <w:rPr>
                <w:sz w:val="18"/>
              </w:rPr>
              <w:t>-26.5%</w:t>
            </w:r>
          </w:p>
        </w:tc>
        <w:tc>
          <w:tcPr>
            <w:tcW w:type="dxa" w:w="2196"/>
          </w:tcPr>
          <w:p>
            <w:pPr>
              <w:jc w:val="center"/>
            </w:pPr>
            <w:r>
              <w:rPr>
                <w:sz w:val="18"/>
              </w:rPr>
              <w:t>-10.2%</w:t>
            </w:r>
          </w:p>
        </w:tc>
        <w:tc>
          <w:tcPr>
            <w:tcW w:type="dxa" w:w="2196"/>
          </w:tcPr>
          <w:p>
            <w:pPr>
              <w:jc w:val="center"/>
            </w:pPr>
            <w:r>
              <w:rPr>
                <w:sz w:val="18"/>
              </w:rPr>
              <w:t>20.2</w:t>
            </w:r>
          </w:p>
        </w:tc>
      </w:tr>
      <w:tr>
        <w:tc>
          <w:tcPr>
            <w:tcW w:type="dxa" w:w="2196"/>
          </w:tcPr>
          <w:p>
            <w:pPr>
              <w:jc w:val="left"/>
            </w:pPr>
            <w:r>
              <w:rPr>
                <w:sz w:val="18"/>
              </w:rPr>
              <w:t>Mar 2025</w:t>
            </w:r>
          </w:p>
        </w:tc>
        <w:tc>
          <w:tcPr>
            <w:tcW w:type="dxa" w:w="2196"/>
          </w:tcPr>
          <w:p>
            <w:pPr>
              <w:jc w:val="center"/>
            </w:pPr>
            <w:r>
              <w:rPr>
                <w:sz w:val="18"/>
              </w:rPr>
              <w:t>-26.4%</w:t>
            </w:r>
          </w:p>
        </w:tc>
        <w:tc>
          <w:tcPr>
            <w:tcW w:type="dxa" w:w="2196"/>
          </w:tcPr>
          <w:p>
            <w:pPr>
              <w:jc w:val="center"/>
            </w:pPr>
            <w:r>
              <w:rPr>
                <w:sz w:val="18"/>
              </w:rPr>
              <w:t>-9.3%</w:t>
            </w:r>
          </w:p>
        </w:tc>
        <w:tc>
          <w:tcPr>
            <w:tcW w:type="dxa" w:w="2196"/>
          </w:tcPr>
          <w:p>
            <w:pPr>
              <w:jc w:val="center"/>
            </w:pPr>
            <w:r>
              <w:rPr>
                <w:sz w:val="18"/>
              </w:rPr>
              <w:t>26.9</w:t>
            </w:r>
          </w:p>
        </w:tc>
      </w:tr>
    </w:tbl>
    <w:p/>
    <w:p>
      <w:r>
        <w:t>The pattern is striking. Across all 15 exits, the median SPY drawdown was -10.2% and the median VIX was 31.2. SPY drawdowns ranged from -9.1% to -17.6%; VIX ranged from 20.2 to 45.8. Every exit occurred during conditions that would be recognized as market stress -- not ordinary pullbacks.</w:t>
      </w:r>
    </w:p>
    <w:p>
      <w:r>
        <w:t>This is roughly the range where ordinary corrections begin to evolve into true stress regimes marked by elevated volatility, forced deleveraging, and unstable price action. Think of it as three zones: below 15% UPRO drawdown is normal leveraged noise; 20-30% is the unstable-correction zone where stress may be building; above 40% is a full bear market already underway. The 25% trigger sits right in the middle of the transition zone.</w:t>
      </w:r>
    </w:p>
    <w:p>
      <w:r>
        <w:t>The cooling period complements this. After a volatility regime shift, the probability of continued violent price action remains elevated for weeks -- a well-documented empirical phenomenon known as volatility clustering. The 40-day waiting period is a crude but effective way of staying out until that turbulence subsides.</w:t>
      </w:r>
    </w:p>
    <w:p>
      <w:r>
        <w:t>This framing also explains why the rule works better on UPRO than it would on SPY. If you applied a 25% exit to SPY itself, you would exit far too late -- by the time SPY is down 25%, the damage is already severe. But UPRO's leverage amplifies stress signals, making them visible earlier in the price path.</w:t>
      </w:r>
    </w:p>
    <w:p>
      <w:pPr>
        <w:pStyle w:val="Heading2"/>
      </w:pPr>
      <w:r>
        <w:t>Block Bootstrap Robustness Test</w:t>
      </w:r>
    </w:p>
    <w:p>
      <w:r>
        <w:t xml:space="preserve">The tests above examine whether the strategy works across different parameters and time periods. But a deeper question is: does the strategy's edge depend on the specific </w:t>
      </w:r>
      <w:r>
        <w:rPr>
          <w:i/>
        </w:rPr>
        <w:t>sequence</w:t>
      </w:r>
      <w:r>
        <w:t xml:space="preserve"> of historical events?</w:t>
      </w:r>
    </w:p>
    <w:p>
      <w:r>
        <w:t>To test this, I ran a block bootstrap simulation. The daily return series was divided into overlapping 20-day blocks, preserving volatility clustering and short-term market dynamics within each block. These blocks were randomly reordered 1,000 times to generate alternative market histories with the same statistical properties as the original data. Unlike a simple Monte Carlo shuffle (which destroys autocorrelation), block bootstrap preserves the multi-day crash sequences and recovery patterns that the strategy responds to.</w:t>
      </w:r>
    </w:p>
    <w:p>
      <w:r>
        <w:t>The result: the drawdown exit strategy produced a higher Sharpe ratio than buy-and-hold in only 35% of simulated paths, with a median Sharpe improvement of -0.05. This is the most important finding in the entire analysis. It means the strategy's Sharpe advantage over buy-and-hold is not a general property of the return distribution -- it is regime-conditional, dependent on the specific sequencing of bull runs followed by sharp crashes that characterized 2009-2026. In randomly reordered histories, the advantage usually disappears.</w:t>
      </w:r>
    </w:p>
    <w:p>
      <w:r>
        <w:t>This is an approximate regime test, not a precise replication of the production backtest -- the bootstrap uses a simplified close-only model and average risk-free carry rather than date-specific rates. But the directional conclusion is clear: the Sharpe edge is materially path-dependent.</w:t>
      </w:r>
    </w:p>
    <w:p>
      <w:r>
        <w:t xml:space="preserve">That does not mean the strategy is useless. Real markets </w:t>
      </w:r>
      <w:r>
        <w:rPr>
          <w:i/>
        </w:rPr>
        <w:t>do</w:t>
      </w:r>
      <w:r>
        <w:t xml:space="preserve"> exhibit the volatility clustering, momentum, and mean-reversion patterns that the drawdown rule responds to. The exit diagnostic table above confirms that the 25% trigger identifies genuine stress episodes in actual market history. But the honest conclusion is that the strategy is a useful practical overlay for regimes resembling recent history -- trending markets with occasional sharp corrections -- not evidence of a regime-invariant alpha source. In a market with fundamentally different dynamics (extended sideways chop, a multi-year grinding bear), the edge may shrink or disappear entirely.</w:t>
      </w:r>
    </w:p>
    <w:p>
      <w:pPr>
        <w:jc w:val="center"/>
      </w:pPr>
      <w:r>
        <w:drawing>
          <wp:inline xmlns:a="http://schemas.openxmlformats.org/drawingml/2006/main" xmlns:pic="http://schemas.openxmlformats.org/drawingml/2006/picture">
            <wp:extent cx="5486400" cy="2252190"/>
            <wp:docPr id="10" name="Picture 10"/>
            <wp:cNvGraphicFramePr>
              <a:graphicFrameLocks noChangeAspect="1"/>
            </wp:cNvGraphicFramePr>
            <a:graphic>
              <a:graphicData uri="http://schemas.openxmlformats.org/drawingml/2006/picture">
                <pic:pic>
                  <pic:nvPicPr>
                    <pic:cNvPr id="0" name="14_bootstrap.png"/>
                    <pic:cNvPicPr/>
                  </pic:nvPicPr>
                  <pic:blipFill>
                    <a:blip r:embed="rId18"/>
                    <a:stretch>
                      <a:fillRect/>
                    </a:stretch>
                  </pic:blipFill>
                  <pic:spPr>
                    <a:xfrm>
                      <a:off x="0" y="0"/>
                      <a:ext cx="5486400" cy="2252190"/>
                    </a:xfrm>
                    <a:prstGeom prst="rect"/>
                  </pic:spPr>
                </pic:pic>
              </a:graphicData>
            </a:graphic>
          </wp:inline>
        </w:drawing>
      </w:r>
    </w:p>
    <w:p/>
    <w:p>
      <w:pPr>
        <w:pStyle w:val="Heading2"/>
      </w:pPr>
      <w:r>
        <w:t>Volatility-Normalized Drawdown Rule</w:t>
      </w:r>
    </w:p>
    <w:p>
      <w:r>
        <w:t>A natural question: if the 25% threshold works because it detects volatility regimes, shouldn't a volatility-normalized version work even better? To test this, I implemented a generalized version: exit when the drawdown exceeds k times UPRO's 20-day realized volatility.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Variant</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Trades</w:t>
            </w:r>
          </w:p>
        </w:tc>
      </w:tr>
      <w:tr>
        <w:tc>
          <w:tcPr>
            <w:tcW w:type="dxa" w:w="1464"/>
          </w:tcPr>
          <w:p>
            <w:pPr>
              <w:jc w:val="left"/>
            </w:pPr>
            <w:r>
              <w:rPr>
                <w:b/>
                <w:sz w:val="18"/>
              </w:rPr>
              <w:t>DD25%/Cool40 (fixed)</w:t>
            </w:r>
          </w:p>
        </w:tc>
        <w:tc>
          <w:tcPr>
            <w:tcW w:type="dxa" w:w="1464"/>
          </w:tcPr>
          <w:p>
            <w:pPr>
              <w:jc w:val="center"/>
            </w:pPr>
            <w:r>
              <w:rPr>
                <w:b/>
                <w:sz w:val="18"/>
              </w:rPr>
              <w:t>$9.0M</w:t>
            </w:r>
          </w:p>
        </w:tc>
        <w:tc>
          <w:tcPr>
            <w:tcW w:type="dxa" w:w="1464"/>
          </w:tcPr>
          <w:p>
            <w:pPr>
              <w:jc w:val="center"/>
            </w:pPr>
            <w:r>
              <w:rPr>
                <w:b/>
                <w:sz w:val="18"/>
              </w:rPr>
              <w:t>+31.0%</w:t>
            </w:r>
          </w:p>
        </w:tc>
        <w:tc>
          <w:tcPr>
            <w:tcW w:type="dxa" w:w="1464"/>
          </w:tcPr>
          <w:p>
            <w:pPr>
              <w:jc w:val="center"/>
            </w:pPr>
            <w:r>
              <w:rPr>
                <w:b/>
                <w:sz w:val="18"/>
              </w:rPr>
              <w:t>0.86</w:t>
            </w:r>
          </w:p>
        </w:tc>
        <w:tc>
          <w:tcPr>
            <w:tcW w:type="dxa" w:w="1464"/>
          </w:tcPr>
          <w:p>
            <w:pPr>
              <w:jc w:val="center"/>
            </w:pPr>
            <w:r>
              <w:rPr>
                <w:b/>
                <w:sz w:val="18"/>
              </w:rPr>
              <w:t>-41.8%</w:t>
            </w:r>
          </w:p>
        </w:tc>
        <w:tc>
          <w:tcPr>
            <w:tcW w:type="dxa" w:w="1464"/>
          </w:tcPr>
          <w:p>
            <w:pPr>
              <w:jc w:val="center"/>
            </w:pPr>
            <w:r>
              <w:rPr>
                <w:b/>
                <w:sz w:val="18"/>
              </w:rPr>
              <w:t>31</w:t>
            </w:r>
          </w:p>
        </w:tc>
      </w:tr>
      <w:tr>
        <w:tc>
          <w:tcPr>
            <w:tcW w:type="dxa" w:w="1464"/>
          </w:tcPr>
          <w:p>
            <w:pPr>
              <w:jc w:val="left"/>
            </w:pPr>
            <w:r>
              <w:rPr>
                <w:sz w:val="18"/>
              </w:rPr>
              <w:t>VolNorm k=4</w:t>
            </w:r>
          </w:p>
        </w:tc>
        <w:tc>
          <w:tcPr>
            <w:tcW w:type="dxa" w:w="1464"/>
          </w:tcPr>
          <w:p>
            <w:pPr>
              <w:jc w:val="center"/>
            </w:pPr>
            <w:r>
              <w:rPr>
                <w:sz w:val="18"/>
              </w:rPr>
              <w:t>$1.6M</w:t>
            </w:r>
          </w:p>
        </w:tc>
        <w:tc>
          <w:tcPr>
            <w:tcW w:type="dxa" w:w="1464"/>
          </w:tcPr>
          <w:p>
            <w:pPr>
              <w:jc w:val="center"/>
            </w:pPr>
            <w:r>
              <w:rPr>
                <w:sz w:val="18"/>
              </w:rPr>
              <w:t>+17.4%</w:t>
            </w:r>
          </w:p>
        </w:tc>
        <w:tc>
          <w:tcPr>
            <w:tcW w:type="dxa" w:w="1464"/>
          </w:tcPr>
          <w:p>
            <w:pPr>
              <w:jc w:val="center"/>
            </w:pPr>
            <w:r>
              <w:rPr>
                <w:sz w:val="18"/>
              </w:rPr>
              <w:t>0.63</w:t>
            </w:r>
          </w:p>
        </w:tc>
        <w:tc>
          <w:tcPr>
            <w:tcW w:type="dxa" w:w="1464"/>
          </w:tcPr>
          <w:p>
            <w:pPr>
              <w:jc w:val="center"/>
            </w:pPr>
            <w:r>
              <w:rPr>
                <w:sz w:val="18"/>
              </w:rPr>
              <w:t>-56.7%</w:t>
            </w:r>
          </w:p>
        </w:tc>
        <w:tc>
          <w:tcPr>
            <w:tcW w:type="dxa" w:w="1464"/>
          </w:tcPr>
          <w:p>
            <w:pPr>
              <w:jc w:val="center"/>
            </w:pPr>
            <w:r>
              <w:rPr>
                <w:sz w:val="18"/>
              </w:rPr>
              <w:t>129</w:t>
            </w:r>
          </w:p>
        </w:tc>
      </w:tr>
      <w:tr>
        <w:tc>
          <w:tcPr>
            <w:tcW w:type="dxa" w:w="1464"/>
          </w:tcPr>
          <w:p>
            <w:pPr>
              <w:jc w:val="left"/>
            </w:pPr>
            <w:r>
              <w:rPr>
                <w:sz w:val="18"/>
              </w:rPr>
              <w:t>VolNorm k=5</w:t>
            </w:r>
          </w:p>
        </w:tc>
        <w:tc>
          <w:tcPr>
            <w:tcW w:type="dxa" w:w="1464"/>
          </w:tcPr>
          <w:p>
            <w:pPr>
              <w:jc w:val="center"/>
            </w:pPr>
            <w:r>
              <w:rPr>
                <w:sz w:val="18"/>
              </w:rPr>
              <w:t>$2.3M</w:t>
            </w:r>
          </w:p>
        </w:tc>
        <w:tc>
          <w:tcPr>
            <w:tcW w:type="dxa" w:w="1464"/>
          </w:tcPr>
          <w:p>
            <w:pPr>
              <w:jc w:val="center"/>
            </w:pPr>
            <w:r>
              <w:rPr>
                <w:sz w:val="18"/>
              </w:rPr>
              <w:t>+20.1%</w:t>
            </w:r>
          </w:p>
        </w:tc>
        <w:tc>
          <w:tcPr>
            <w:tcW w:type="dxa" w:w="1464"/>
          </w:tcPr>
          <w:p>
            <w:pPr>
              <w:jc w:val="center"/>
            </w:pPr>
            <w:r>
              <w:rPr>
                <w:sz w:val="18"/>
              </w:rPr>
              <w:t>0.68</w:t>
            </w:r>
          </w:p>
        </w:tc>
        <w:tc>
          <w:tcPr>
            <w:tcW w:type="dxa" w:w="1464"/>
          </w:tcPr>
          <w:p>
            <w:pPr>
              <w:jc w:val="center"/>
            </w:pPr>
            <w:r>
              <w:rPr>
                <w:sz w:val="18"/>
              </w:rPr>
              <w:t>-47.6%</w:t>
            </w:r>
          </w:p>
        </w:tc>
        <w:tc>
          <w:tcPr>
            <w:tcW w:type="dxa" w:w="1464"/>
          </w:tcPr>
          <w:p>
            <w:pPr>
              <w:jc w:val="center"/>
            </w:pPr>
            <w:r>
              <w:rPr>
                <w:sz w:val="18"/>
              </w:rPr>
              <w:t>87</w:t>
            </w:r>
          </w:p>
        </w:tc>
      </w:tr>
      <w:tr>
        <w:tc>
          <w:tcPr>
            <w:tcW w:type="dxa" w:w="1464"/>
          </w:tcPr>
          <w:p>
            <w:pPr>
              <w:jc w:val="left"/>
            </w:pPr>
            <w:r>
              <w:rPr>
                <w:sz w:val="18"/>
              </w:rPr>
              <w:t>VolNorm k=6</w:t>
            </w:r>
          </w:p>
        </w:tc>
        <w:tc>
          <w:tcPr>
            <w:tcW w:type="dxa" w:w="1464"/>
          </w:tcPr>
          <w:p>
            <w:pPr>
              <w:jc w:val="center"/>
            </w:pPr>
            <w:r>
              <w:rPr>
                <w:sz w:val="18"/>
              </w:rPr>
              <w:t>$1.3M</w:t>
            </w:r>
          </w:p>
        </w:tc>
        <w:tc>
          <w:tcPr>
            <w:tcW w:type="dxa" w:w="1464"/>
          </w:tcPr>
          <w:p>
            <w:pPr>
              <w:jc w:val="center"/>
            </w:pPr>
            <w:r>
              <w:rPr>
                <w:sz w:val="18"/>
              </w:rPr>
              <w:t>+16.0%</w:t>
            </w:r>
          </w:p>
        </w:tc>
        <w:tc>
          <w:tcPr>
            <w:tcW w:type="dxa" w:w="1464"/>
          </w:tcPr>
          <w:p>
            <w:pPr>
              <w:jc w:val="center"/>
            </w:pPr>
            <w:r>
              <w:rPr>
                <w:sz w:val="18"/>
              </w:rPr>
              <w:t>0.56</w:t>
            </w:r>
          </w:p>
        </w:tc>
        <w:tc>
          <w:tcPr>
            <w:tcW w:type="dxa" w:w="1464"/>
          </w:tcPr>
          <w:p>
            <w:pPr>
              <w:jc w:val="center"/>
            </w:pPr>
            <w:r>
              <w:rPr>
                <w:sz w:val="18"/>
              </w:rPr>
              <w:t>-54.1%</w:t>
            </w:r>
          </w:p>
        </w:tc>
        <w:tc>
          <w:tcPr>
            <w:tcW w:type="dxa" w:w="1464"/>
          </w:tcPr>
          <w:p>
            <w:pPr>
              <w:jc w:val="center"/>
            </w:pPr>
            <w:r>
              <w:rPr>
                <w:sz w:val="18"/>
              </w:rPr>
              <w:t>71</w:t>
            </w:r>
          </w:p>
        </w:tc>
      </w:tr>
      <w:tr>
        <w:tc>
          <w:tcPr>
            <w:tcW w:type="dxa" w:w="1464"/>
          </w:tcPr>
          <w:p>
            <w:pPr>
              <w:jc w:val="left"/>
            </w:pPr>
            <w:r>
              <w:rPr>
                <w:sz w:val="18"/>
              </w:rPr>
              <w:t>VolNorm k=7</w:t>
            </w:r>
          </w:p>
        </w:tc>
        <w:tc>
          <w:tcPr>
            <w:tcW w:type="dxa" w:w="1464"/>
          </w:tcPr>
          <w:p>
            <w:pPr>
              <w:jc w:val="center"/>
            </w:pPr>
            <w:r>
              <w:rPr>
                <w:sz w:val="18"/>
              </w:rPr>
              <w:t>$3.6M</w:t>
            </w:r>
          </w:p>
        </w:tc>
        <w:tc>
          <w:tcPr>
            <w:tcW w:type="dxa" w:w="1464"/>
          </w:tcPr>
          <w:p>
            <w:pPr>
              <w:jc w:val="center"/>
            </w:pPr>
            <w:r>
              <w:rPr>
                <w:sz w:val="18"/>
              </w:rPr>
              <w:t>+24.4%</w:t>
            </w:r>
          </w:p>
        </w:tc>
        <w:tc>
          <w:tcPr>
            <w:tcW w:type="dxa" w:w="1464"/>
          </w:tcPr>
          <w:p>
            <w:pPr>
              <w:jc w:val="center"/>
            </w:pPr>
            <w:r>
              <w:rPr>
                <w:sz w:val="18"/>
              </w:rPr>
              <w:t>0.72</w:t>
            </w:r>
          </w:p>
        </w:tc>
        <w:tc>
          <w:tcPr>
            <w:tcW w:type="dxa" w:w="1464"/>
          </w:tcPr>
          <w:p>
            <w:pPr>
              <w:jc w:val="center"/>
            </w:pPr>
            <w:r>
              <w:rPr>
                <w:sz w:val="18"/>
              </w:rPr>
              <w:t>-57.3%</w:t>
            </w:r>
          </w:p>
        </w:tc>
        <w:tc>
          <w:tcPr>
            <w:tcW w:type="dxa" w:w="1464"/>
          </w:tcPr>
          <w:p>
            <w:pPr>
              <w:jc w:val="center"/>
            </w:pPr>
            <w:r>
              <w:rPr>
                <w:sz w:val="18"/>
              </w:rPr>
              <w:t>43</w:t>
            </w:r>
          </w:p>
        </w:tc>
      </w:tr>
    </w:tbl>
    <w:p/>
    <w:p>
      <w:r>
        <w:t>The volatility-normalized variants all underperform the fixed 25% rule. The best (k=7) achieves a 0.72 Sharpe with far more trades. This is a failed generalization test: the theoretically "smarter" adaptive threshold does not improve on the simple fixed rule over this period. The likely explanation is practical rather than deep -- a constant threshold produces fewer false signals during calm periods (when rolling volatility is low and the normalized threshold would be too tight) and remains effective during crises (when volatility spikes and the normalized threshold would be too loose). The result increases confidence that 25% is a practically useful threshold for UPRO, but it does not demonstrate that the number has any structural optimality beyond being well-matched to UPRO's realized volatility during 2009-2026.</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0.86</w:t>
            </w:r>
          </w:p>
        </w:tc>
        <w:tc>
          <w:tcPr>
            <w:tcW w:type="dxa" w:w="1255"/>
          </w:tcPr>
          <w:p>
            <w:pPr>
              <w:jc w:val="center"/>
            </w:pPr>
            <w:r>
              <w:rPr>
                <w:sz w:val="18"/>
              </w:rPr>
              <w:t>1.06</w:t>
            </w:r>
          </w:p>
        </w:tc>
        <w:tc>
          <w:tcPr>
            <w:tcW w:type="dxa" w:w="1255"/>
          </w:tcPr>
          <w:p>
            <w:pPr>
              <w:jc w:val="center"/>
            </w:pPr>
            <w:r>
              <w:rPr>
                <w:sz w:val="18"/>
              </w:rPr>
              <w:t>-41.8%</w:t>
            </w:r>
          </w:p>
        </w:tc>
        <w:tc>
          <w:tcPr>
            <w:tcW w:type="dxa" w:w="1255"/>
          </w:tcPr>
          <w:p>
            <w:pPr>
              <w:jc w:val="center"/>
            </w:pPr>
            <w:r>
              <w:rPr>
                <w:sz w:val="18"/>
              </w:rPr>
              <w:t>0.71</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0.89</w:t>
            </w:r>
          </w:p>
        </w:tc>
        <w:tc>
          <w:tcPr>
            <w:tcW w:type="dxa" w:w="1255"/>
          </w:tcPr>
          <w:p>
            <w:pPr>
              <w:jc w:val="center"/>
            </w:pPr>
            <w:r>
              <w:rPr>
                <w:b/>
                <w:sz w:val="18"/>
              </w:rPr>
              <w:t>1.13</w:t>
            </w:r>
          </w:p>
        </w:tc>
        <w:tc>
          <w:tcPr>
            <w:tcW w:type="dxa" w:w="1255"/>
          </w:tcPr>
          <w:p>
            <w:pPr>
              <w:jc w:val="center"/>
            </w:pPr>
            <w:r>
              <w:rPr>
                <w:b/>
                <w:sz w:val="18"/>
              </w:rPr>
              <w:t>-55.3%</w:t>
            </w:r>
          </w:p>
        </w:tc>
        <w:tc>
          <w:tcPr>
            <w:tcW w:type="dxa" w:w="1255"/>
          </w:tcPr>
          <w:p>
            <w:pPr>
              <w:jc w:val="center"/>
            </w:pPr>
            <w:r>
              <w:rPr>
                <w:b/>
                <w:sz w:val="18"/>
              </w:rPr>
              <w:t>0.57</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0.84</w:t>
            </w:r>
          </w:p>
        </w:tc>
        <w:tc>
          <w:tcPr>
            <w:tcW w:type="dxa" w:w="1255"/>
          </w:tcPr>
          <w:p>
            <w:pPr>
              <w:jc w:val="center"/>
            </w:pPr>
            <w:r>
              <w:rPr>
                <w:sz w:val="18"/>
              </w:rPr>
              <w:t>1.09</w:t>
            </w:r>
          </w:p>
        </w:tc>
        <w:tc>
          <w:tcPr>
            <w:tcW w:type="dxa" w:w="1255"/>
          </w:tcPr>
          <w:p>
            <w:pPr>
              <w:jc w:val="center"/>
            </w:pPr>
            <w:r>
              <w:rPr>
                <w:sz w:val="18"/>
              </w:rPr>
              <w:t>-76.7%</w:t>
            </w:r>
          </w:p>
        </w:tc>
        <w:tc>
          <w:tcPr>
            <w:tcW w:type="dxa" w:w="1255"/>
          </w:tcPr>
          <w:p>
            <w:pPr>
              <w:jc w:val="center"/>
            </w:pPr>
            <w:r>
              <w:rPr>
                <w:sz w:val="18"/>
              </w:rPr>
              <w:t>0.42</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*0.78*</w:t>
            </w:r>
          </w:p>
        </w:tc>
        <w:tc>
          <w:tcPr>
            <w:tcW w:type="dxa" w:w="1255"/>
          </w:tcPr>
          <w:p>
            <w:pPr>
              <w:jc w:val="center"/>
            </w:pPr>
            <w:r>
              <w:rPr>
                <w:sz w:val="18"/>
              </w:rPr>
              <w:t>*0.96*</w:t>
            </w:r>
          </w:p>
        </w:tc>
        <w:tc>
          <w:tcPr>
            <w:tcW w:type="dxa" w:w="1255"/>
          </w:tcPr>
          <w:p>
            <w:pPr>
              <w:jc w:val="center"/>
            </w:pPr>
            <w:r>
              <w:rPr>
                <w:sz w:val="18"/>
              </w:rPr>
              <w:t>*-76.8%*</w:t>
            </w:r>
          </w:p>
        </w:tc>
        <w:tc>
          <w:tcPr>
            <w:tcW w:type="dxa" w:w="1255"/>
          </w:tcPr>
          <w:p>
            <w:pPr>
              <w:jc w:val="center"/>
            </w:pPr>
            <w:r>
              <w:rPr>
                <w:sz w:val="18"/>
              </w:rPr>
              <w:t>*0.40*</w:t>
            </w:r>
          </w:p>
        </w:tc>
      </w:tr>
    </w:tbl>
    <w:p/>
    <w:p>
      <w:r>
        <w:t>Both bond variants beat UPRO buy-and-hold on terminal wealth: TLT ($11.1M) and TMF ($12.1M) versus B&amp;H's $10.2M. But TLT is the standout on risk-adjusted metrics. It achieves the highest Sharpe ratio in the entire analysis (0.89) with a manageable -55.3% max drawdown. The Sortino ratio (1.13) is also the best, reflecting particularly good downside risk management. TMF generates even more terminal wealth ($12.1M)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 One important caveat: the TLT hedge's historical success relies on equity drawdowns being driven by growth shocks (2011, 2018, 2020), where bonds rally as investors flee to safety. If future equity drawdowns are driven by persistent inflation rather than growth shocks, the stock-bond correlation could remain positive, reducing the effectiveness of the TLT hedge -- as we saw in 2022.</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11" name="Picture 11"/>
            <wp:cNvGraphicFramePr>
              <a:graphicFrameLocks noChangeAspect="1"/>
            </wp:cNvGraphicFramePr>
            <a:graphic>
              <a:graphicData uri="http://schemas.openxmlformats.org/drawingml/2006/picture">
                <pic:pic>
                  <pic:nvPicPr>
                    <pic:cNvPr id="0" name="09_bond_cash.png"/>
                    <pic:cNvPicPr/>
                  </pic:nvPicPr>
                  <pic:blipFill>
                    <a:blip r:embed="rId19"/>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(~15 complete exit/re-entry cycles)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(0.89)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(0.76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Over the 2009-2026 test period, simple drawdown-triggered exits meaningfully improved UPRO's risk profile without exotic indicators, frequent trading, or complex portfolio construction. The DD25%/Cool40 rule -- exit at a 25% drawdown, wait 40 trading days before re-entering -- delivered a 0.86 Sharpe ratio while cutting the maximum drawdown from -77% to -42%.</w:t>
      </w:r>
    </w:p>
    <w:p>
      <w:r>
        <w:t>Parking idle cash in TLT during cooling periods pushes the result further: a 0.89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paints a mixed but honest picture. On the encouraging side: the DD25%/Cool40 parameters sit in a broad plateau of strong performance (not a fragile peak), walk-forward validation suggests the approach works out-of-sample, and exit diagnostics confirm the 25% trigger identifies genuine SPY stress episodes. On the cautionary side: block-bootstrap analysis shows the strategy beats buy-and-hold on Sharpe in only 35% of randomly reordered return histories, meaning the Sharpe advantage is regime-conditional -- it depends on the specific pattern of bull runs followed by sharp corrections that characterized 2009-2026. The strategy is a useful practical overlay for regimes resembling recent history, not evidence of a regime-invariant alpha source.</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