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3" w:afterAutospacing="0"/>
        <w:ind w:left="0" w:right="0" w:firstLine="0"/>
        <w:rPr>
          <w:rFonts w:ascii="Helvetica Neue" w:hAnsi="Helvetica Neue" w:eastAsia="Helvetica Neue" w:cs="Helvetica Neue"/>
          <w:i w:val="0"/>
          <w:iCs w:val="0"/>
          <w:caps w:val="0"/>
          <w:color w:val="0D0D0D"/>
          <w:spacing w:val="0"/>
          <w:sz w:val="32"/>
          <w:szCs w:val="32"/>
          <w:u w:val="none"/>
        </w:rPr>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Software Idea: SecureShift - Intelligent Data Transfer and Information Management Platform</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Helvetica Neue" w:hAnsi="Helvetica Neue" w:eastAsia="Helvetica Neue" w:cs="Helvetica Neue"/>
          <w:i w:val="0"/>
          <w:iCs w:val="0"/>
          <w:caps w:val="0"/>
          <w:color w:val="0D0D0D"/>
          <w:spacing w:val="0"/>
          <w:sz w:val="32"/>
          <w:szCs w:val="32"/>
          <w:u w:val="none"/>
        </w:rPr>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Description: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Helvetica Neue" w:hAnsi="Helvetica Neue" w:eastAsia="Helvetica Neue" w:cs="Helvetica Neue"/>
          <w:i w:val="0"/>
          <w:iCs w:val="0"/>
          <w:caps w:val="0"/>
          <w:color w:val="0D0D0D"/>
          <w:spacing w:val="0"/>
          <w:sz w:val="32"/>
          <w:szCs w:val="32"/>
          <w:u w:val="none"/>
        </w:rPr>
      </w:pPr>
      <w:r>
        <w:rPr>
          <w:rFonts w:hint="default" w:ascii="Helvetica Neue" w:hAnsi="Helvetica Neue" w:eastAsia="Helvetica Neue" w:cs="Helvetica Neue"/>
          <w:i w:val="0"/>
          <w:iCs w:val="0"/>
          <w:caps w:val="0"/>
          <w:color w:val="0D0D0D"/>
          <w:spacing w:val="0"/>
          <w:sz w:val="32"/>
          <w:szCs w:val="32"/>
          <w:u w:val="none"/>
        </w:rPr>
        <w:t>SecureShift is an intelligent software solution designed to facilitate secure and efficient transfer of employee data, records, and HR information to outsourcing providers while ensuring confidentiality, integrity, and compliance with data protection regulations. This platform employs advanced encryption, authentication, and monitoring mechanisms to safeguard sensitive data during the transition process.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firstLine="0"/>
        <w:rPr>
          <w:rFonts w:hint="default" w:ascii="Helvetica Neue" w:hAnsi="Helvetica Neue" w:eastAsia="Helvetica Neue" w:cs="Helvetica Neue"/>
          <w:i w:val="0"/>
          <w:iCs w:val="0"/>
          <w:caps w:val="0"/>
          <w:color w:val="0D0D0D"/>
          <w:spacing w:val="0"/>
          <w:sz w:val="32"/>
          <w:szCs w:val="32"/>
          <w:u w:val="none"/>
        </w:rPr>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Core Features: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Secure Data Transfer Protocols: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Implement secure data transfer protocols, such as SSL/TLS encryption, SFTP (Secure File Transfer Protocol), or VPN (Virtual Private Network), to encrypt data transmissions and protect sensitive information from unauthorized access or interception.</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Utilize data masking and anonymization techniques to obfuscate personally identifiable information (PII) and ensure that only authorized personnel can access sensitive data.</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Role-Based Access Control (RBAC):</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Enforce role-based access control policies to restrict access to employee data and HR records based on users' roles, responsibilities, and permissions.</w:t>
      </w:r>
    </w:p>
    <w:p>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Grant access privileges on a need-to-know basis, ensuring that only authorized personnel can view, modify, or delete sensitive information.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Auditing and Logging Mechanisms: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Implement auditing and logging mechanisms to track data access, transfer activities, and system events throughout the data transfer process.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Maintain comprehensive audit logs that record user actions, file transfers, authentication attempts, and security incidents for compliance reporting and forensic analysis.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Data Validation and Integrity Checks: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Perform data validation and integrity checks to verify the accuracy, completeness, and consistency of transferred employee data and records.</w:t>
      </w:r>
    </w:p>
    <w:p>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Employ checksums, digital signatures, or cryptographic hashes to detect data tampering or corruption during transit and ensure data integrity.</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Automated Data Migration Workflows: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Define automated data migration workflows to streamline the transfer of employee data and HR information from internal systems to outsourcing providers' platforms.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Schedule data synchronization tasks, data replication processes, and batch transfers to ensure timely and reliable data migration without manual intervention.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Compliance and Regulatory Compliance: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6"/>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Ensure compliance with data protection regulations, such as GDPR (General Data Protection Regulation), HIPAA (Health Insurance Portability and Accountability Act), or CCPA (California Consumer Privacy Act), by implementing appropriate security measures and privacy controls.</w:t>
      </w:r>
    </w:p>
    <w:p>
      <w:pPr>
        <w:keepNext w:val="0"/>
        <w:keepLines w:val="0"/>
        <w:widowControl/>
        <w:numPr>
          <w:ilvl w:val="1"/>
          <w:numId w:val="6"/>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Conduct regular compliance assessments, vulnerability scans, and penetration tests to identify and remediate security vulnerabilities and ensure ongoing compliance with regulatory requirements.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Encryption Key Management: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Implement encryption key management practices to securely generate, store, rotate, and revoke encryption keys used to encrypt and decrypt sensitive data during transit.</w:t>
      </w: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Employ robust key management systems (KMS) or hardware security modules (HSM) to protect encryption keys from unauthorized access or misuse.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5"/>
          <w:rFonts w:hint="default" w:ascii="Helvetica Neue" w:hAnsi="Helvetica Neue" w:eastAsia="Helvetica Neue" w:cs="Helvetica Neue"/>
          <w:b/>
          <w:bCs/>
          <w:i w:val="0"/>
          <w:iCs w:val="0"/>
          <w:caps w:val="0"/>
          <w:color w:val="0D0D0D"/>
          <w:spacing w:val="0"/>
          <w:sz w:val="32"/>
          <w:szCs w:val="32"/>
          <w:u w:val="none"/>
          <w:bdr w:val="single" w:color="E3E3E3" w:sz="2" w:space="0"/>
        </w:rPr>
        <w:t>User Training and Awareness Programs: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firstLine="0"/>
      </w:pPr>
    </w:p>
    <w:p>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Provide training and awareness programs to educate employees, contractors, and outsourcing providers' staff about data security best practices, confidentiality policies, and compliance requirements.</w:t>
      </w:r>
    </w:p>
    <w:p>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firstLine="0"/>
      </w:pPr>
      <w:r>
        <w:rPr>
          <w:rFonts w:hint="default" w:ascii="Helvetica Neue" w:hAnsi="Helvetica Neue" w:eastAsia="Helvetica Neue" w:cs="Helvetica Neue"/>
          <w:i w:val="0"/>
          <w:iCs w:val="0"/>
          <w:caps w:val="0"/>
          <w:color w:val="0D0D0D"/>
          <w:spacing w:val="0"/>
          <w:sz w:val="32"/>
          <w:szCs w:val="32"/>
          <w:u w:val="none"/>
          <w:bdr w:val="single" w:color="E3E3E3" w:sz="2" w:space="0"/>
        </w:rPr>
        <w:t>Promote a culture of security awareness and accountability by reinforcing the importance of safeguarding sensitive data and adhering to data protection protocols.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0" w:afterAutospacing="0"/>
        <w:ind w:left="0" w:right="0" w:firstLine="0"/>
        <w:rPr>
          <w:rFonts w:hint="default" w:ascii="Helvetica Neue" w:hAnsi="Helvetica Neue" w:eastAsia="Helvetica Neue" w:cs="Helvetica Neue"/>
          <w:i w:val="0"/>
          <w:iCs w:val="0"/>
          <w:caps w:val="0"/>
          <w:color w:val="0D0D0D"/>
          <w:spacing w:val="0"/>
          <w:sz w:val="32"/>
          <w:szCs w:val="32"/>
          <w:u w:val="none"/>
        </w:rPr>
      </w:pPr>
      <w:r>
        <w:rPr>
          <w:rFonts w:hint="default" w:ascii="Helvetica Neue" w:hAnsi="Helvetica Neue" w:eastAsia="Helvetica Neue" w:cs="Helvetica Neue"/>
          <w:i w:val="0"/>
          <w:iCs w:val="0"/>
          <w:caps w:val="0"/>
          <w:color w:val="0D0D0D"/>
          <w:spacing w:val="0"/>
          <w:sz w:val="32"/>
          <w:szCs w:val="32"/>
          <w:u w:val="none"/>
        </w:rPr>
        <w:t>SecureShift ensures the secure and compliant transfer of employee data and HR information to outsourcing providers, minimizing the risk of data breaches, unauthorized access, or data loss during the transition process. By leveraging intelligent technologies and robust security measures, SecureShift enhances data privacy, confidentiality, and integrity, enabling organizations to outsource HR processes with confidence while maintaining regulatory compliance and protecting sensitive information.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4BC7E"/>
    <w:multiLevelType w:val="multilevel"/>
    <w:tmpl w:val="F7D4BC7E"/>
    <w:lvl w:ilvl="0" w:tentative="0">
      <w:start w:val="1"/>
      <w:numFmt w:val="none"/>
      <w:lvlText w:val="%1."/>
      <w:lvlJc w:val="left"/>
      <w:pPr>
        <w:tabs>
          <w:tab w:val="left" w:pos="720"/>
        </w:tabs>
        <w:ind w:left="720" w:firstLine="0"/>
      </w:pPr>
      <w:rPr>
        <w:sz w:val="24"/>
        <w:szCs w:val="24"/>
      </w:rPr>
    </w:lvl>
    <w:lvl w:ilvl="1" w:tentative="0">
      <w:start w:val="1"/>
      <w:numFmt w:val="none"/>
      <w:lvlText w:val="%2."/>
      <w:lvlJc w:val="left"/>
      <w:pPr>
        <w:tabs>
          <w:tab w:val="left" w:pos="1440"/>
        </w:tabs>
        <w:ind w:left="1440" w:firstLine="0"/>
      </w:pPr>
      <w:rPr>
        <w:sz w:val="24"/>
        <w:szCs w:val="24"/>
      </w:rPr>
    </w:lvl>
    <w:lvl w:ilvl="2" w:tentative="0">
      <w:start w:val="1"/>
      <w:numFmt w:val="none"/>
      <w:lvlText w:val="%3."/>
      <w:lvlJc w:val="left"/>
      <w:pPr>
        <w:tabs>
          <w:tab w:val="left" w:pos="2160"/>
        </w:tabs>
        <w:ind w:left="2160" w:firstLine="0"/>
      </w:pPr>
      <w:rPr>
        <w:sz w:val="24"/>
        <w:szCs w:val="24"/>
      </w:rPr>
    </w:lvl>
    <w:lvl w:ilvl="3" w:tentative="0">
      <w:start w:val="1"/>
      <w:numFmt w:val="none"/>
      <w:lvlText w:val="%4."/>
      <w:lvlJc w:val="left"/>
      <w:pPr>
        <w:tabs>
          <w:tab w:val="left" w:pos="2517"/>
        </w:tabs>
        <w:ind w:left="2880" w:firstLine="0"/>
      </w:pPr>
      <w:rPr>
        <w:sz w:val="24"/>
        <w:szCs w:val="24"/>
      </w:rPr>
    </w:lvl>
    <w:lvl w:ilvl="4" w:tentative="0">
      <w:start w:val="1"/>
      <w:numFmt w:val="none"/>
      <w:lvlText w:val="%5."/>
      <w:lvlJc w:val="left"/>
      <w:pPr>
        <w:tabs>
          <w:tab w:val="left" w:pos="3238"/>
        </w:tabs>
        <w:ind w:left="3600" w:firstLine="0"/>
      </w:pPr>
      <w:rPr>
        <w:sz w:val="24"/>
        <w:szCs w:val="24"/>
      </w:rPr>
    </w:lvl>
    <w:lvl w:ilvl="5" w:tentative="0">
      <w:start w:val="1"/>
      <w:numFmt w:val="none"/>
      <w:lvlText w:val="%6."/>
      <w:lvlJc w:val="left"/>
      <w:pPr>
        <w:tabs>
          <w:tab w:val="left" w:pos="3958"/>
        </w:tabs>
        <w:ind w:left="4320" w:firstLine="0"/>
      </w:pPr>
      <w:rPr>
        <w:sz w:val="24"/>
        <w:szCs w:val="24"/>
      </w:rPr>
    </w:lvl>
    <w:lvl w:ilvl="6" w:tentative="0">
      <w:start w:val="1"/>
      <w:numFmt w:val="none"/>
      <w:lvlText w:val="%7."/>
      <w:lvlJc w:val="left"/>
      <w:pPr>
        <w:tabs>
          <w:tab w:val="left" w:pos="4678"/>
        </w:tabs>
        <w:ind w:left="5040" w:firstLine="0"/>
      </w:pPr>
      <w:rPr>
        <w:sz w:val="24"/>
        <w:szCs w:val="24"/>
      </w:rPr>
    </w:lvl>
    <w:lvl w:ilvl="7" w:tentative="0">
      <w:start w:val="1"/>
      <w:numFmt w:val="none"/>
      <w:lvlText w:val="%8."/>
      <w:lvlJc w:val="left"/>
      <w:pPr>
        <w:tabs>
          <w:tab w:val="left" w:pos="5398"/>
        </w:tabs>
        <w:ind w:left="5760" w:firstLine="0"/>
      </w:pPr>
      <w:rPr>
        <w:sz w:val="24"/>
        <w:szCs w:val="24"/>
      </w:rPr>
    </w:lvl>
    <w:lvl w:ilvl="8" w:tentative="0">
      <w:start w:val="1"/>
      <w:numFmt w:val="none"/>
      <w:lvlText w:val="%9."/>
      <w:lvlJc w:val="left"/>
      <w:pPr>
        <w:tabs>
          <w:tab w:val="left" w:pos="6118"/>
        </w:tabs>
        <w:ind w:left="6480" w:firstLine="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7B384"/>
    <w:rsid w:val="AFF7B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2024-03-21T10:15:00Z</dcterms:created>
  <dc:creator>princeishimwe</dc:creator>
  <cp:lastModifiedBy>princeishimwe</cp:lastModifiedBy>
  <dcterms:modified xsi:type="dcterms:W3CDTF">2024-03-21T10:15:21Z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