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Informe de Auditoría de Seguridad 2025</w:t>
      </w:r>
    </w:p>
    <w:p>
      <w:pPr>
        <w:jc w:val="center"/>
      </w:pPr>
      <w:r>
        <w:t>Resultados de auditoría técnica y recomendaciones de mitigación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Organización</w:t>
            </w:r>
          </w:p>
        </w:tc>
        <w:tc>
          <w:tcPr>
            <w:tcW w:type="dxa" w:w="4320"/>
          </w:tcPr>
          <w:p>
            <w:r>
              <w:t>Blandskron SpA</w:t>
            </w:r>
          </w:p>
        </w:tc>
      </w:tr>
      <w:tr>
        <w:tc>
          <w:tcPr>
            <w:tcW w:type="dxa" w:w="4320"/>
          </w:tcPr>
          <w:p>
            <w:r>
              <w:t>Autor</w:t>
            </w:r>
          </w:p>
        </w:tc>
        <w:tc>
          <w:tcPr>
            <w:tcW w:type="dxa" w:w="4320"/>
          </w:tcPr>
          <w:p>
            <w:r>
              <w:t>Equipo de Auditoría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11/08/2025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Confidencial</w:t>
            </w:r>
          </w:p>
        </w:tc>
      </w:tr>
    </w:tbl>
    <w:p>
      <w:r>
        <w:br w:type="page"/>
      </w:r>
    </w:p>
    <w:p>
      <w:pPr>
        <w:pStyle w:val="Heading1"/>
      </w:pPr>
      <w:r>
        <w:t>Resumen Ejecutivo</w:t>
      </w:r>
    </w:p>
    <w:p>
      <w:pPr>
        <w:jc w:val="both"/>
      </w:pPr>
      <w:r>
        <w:t>Este informe presenta los hallazgos clave y las recomendaciones derivadas de la auditoría de seguridad realizada a la aplicación web institucional. El objetivo principal fue identificar vulnerabilidades críticas, evaluar su impacto y proponer medidas de mitigación. La estructura y diseño se han adaptado para ofrecer una experiencia clara, gráfica y profesional.</w:t>
      </w:r>
    </w:p>
    <w:p>
      <w:pPr>
        <w:pStyle w:val="Heading1"/>
      </w:pPr>
      <w:r>
        <w:t>Descripción General del Entorno</w:t>
      </w:r>
    </w:p>
    <w:p>
      <w:r>
        <w:t>- Superficie de ataque externa e interna.</w:t>
      </w:r>
    </w:p>
    <w:p>
      <w:r>
        <w:t>- API y endpoints críticos.</w:t>
      </w:r>
    </w:p>
    <w:p>
      <w:r>
        <w:t>- Configuraciones de servidores y bases de datos.</w:t>
      </w:r>
    </w:p>
    <w:p>
      <w:r>
        <w:t>- Controles de autenticación y autorización.</w:t>
      </w:r>
    </w:p>
    <w:p>
      <w:r>
        <w:t>- Respuesta ante errores y manejo de excepciones.</w:t>
      </w:r>
    </w:p>
    <w:p>
      <w:pPr>
        <w:pStyle w:val="Heading1"/>
      </w:pPr>
      <w:r>
        <w:t>Principales Vulnerabilidades Detectadas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Hallazgo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Criticidad</w:t>
            </w:r>
          </w:p>
        </w:tc>
        <w:tc>
          <w:tcPr>
            <w:tcW w:type="dxa" w:w="2160"/>
          </w:tcPr>
          <w:p>
            <w:r>
              <w:t>Recomendación</w:t>
            </w:r>
          </w:p>
        </w:tc>
      </w:tr>
      <w:tr>
        <w:tc>
          <w:tcPr>
            <w:tcW w:type="dxa" w:w="2160"/>
          </w:tcPr>
          <w:p>
            <w:r>
              <w:t>Uso de credenciales por defecto</w:t>
            </w:r>
          </w:p>
        </w:tc>
        <w:tc>
          <w:tcPr>
            <w:tcW w:type="dxa" w:w="2160"/>
          </w:tcPr>
          <w:p>
            <w:r>
              <w:t>Acceso administrativo no autorizado, comprometiendo todo el sistema.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Sustituir credenciales predeterminadas, implementar MFA y rotación periódica.</w:t>
            </w:r>
          </w:p>
        </w:tc>
      </w:tr>
      <w:tr>
        <w:tc>
          <w:tcPr>
            <w:tcW w:type="dxa" w:w="2160"/>
          </w:tcPr>
          <w:p>
            <w:r>
              <w:t>Exposición de trazas internas</w:t>
            </w:r>
          </w:p>
        </w:tc>
        <w:tc>
          <w:tcPr>
            <w:tcW w:type="dxa" w:w="2160"/>
          </w:tcPr>
          <w:p>
            <w:r>
              <w:t>Filtración de rutas y lógica interna, facilitando ataques dirigidos.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Configurar manejo de errores genérico, almacenar trazas en sistemas seguros.</w:t>
            </w:r>
          </w:p>
        </w:tc>
      </w:tr>
      <w:tr>
        <w:tc>
          <w:tcPr>
            <w:tcW w:type="dxa" w:w="2160"/>
          </w:tcPr>
          <w:p>
            <w:r>
              <w:t>API sin autenticación</w:t>
            </w:r>
          </w:p>
        </w:tc>
        <w:tc>
          <w:tcPr>
            <w:tcW w:type="dxa" w:w="2160"/>
          </w:tcPr>
          <w:p>
            <w:r>
              <w:t>Acceso libre a datos sensibles, incumplimiento normativo.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Implementar autenticación robusta (JWT/OAuth 2.0), RBAC y validaciones automáticas en CI/CD.</w:t>
            </w:r>
          </w:p>
        </w:tc>
      </w:tr>
    </w:tbl>
    <w:p>
      <w:pPr>
        <w:pStyle w:val="Heading1"/>
      </w:pPr>
      <w:r>
        <w:t>Análisis Detallado: API sin Autenticación</w:t>
      </w:r>
    </w:p>
    <w:p>
      <w:r>
        <w:t>Descripción: Endpoint público expone datos personales sin requerir autenticación.</w:t>
      </w:r>
    </w:p>
    <w:p>
      <w:r>
        <w:t>Herramientas: Postman v10, cURL.</w:t>
      </w:r>
    </w:p>
    <w:p>
      <w:r>
        <w:t>Metodología: Se realizó una solicitud GET a /api/v1/clientes sin credenciales, obteniendo datos sensibles con código HTTP 200.</w:t>
      </w:r>
    </w:p>
    <w:p>
      <w:r>
        <w:t>Evidencia:</w:t>
        <w:br/>
        <w:t>GET /api/v1/clientes HTTP/1.1</w:t>
        <w:br/>
        <w:br/>
        <w:t>Host: ejemplo.gov</w:t>
        <w:br/>
        <w:br/>
        <w:t>HTTP/1.1 200 OK</w:t>
        <w:br/>
        <w:br/>
        <w:t>Content-Type: application/json</w:t>
        <w:br/>
        <w:br/>
        <w:t>[ { "id": 1, "nombre": "Juan Pérez", "email": "juan.perez@ejemplo.gov" } ]</w:t>
      </w:r>
    </w:p>
    <w:p>
      <w:r>
        <w:t>Recomendaciones:</w:t>
        <w:br/>
        <w:t>- Autenticación obligatoria para todos los endpoints críticos.</w:t>
        <w:br/>
        <w:br/>
        <w:t>- Control de acceso granular por roles o atributos.</w:t>
        <w:br/>
        <w:br/>
        <w:t>- Monitorización con alertas de acceso no autorizado.</w:t>
      </w:r>
    </w:p>
    <w:p>
      <w:pPr>
        <w:pStyle w:val="Heading1"/>
      </w:pPr>
      <w:r>
        <w:t>Conclusiones</w:t>
      </w:r>
    </w:p>
    <w:p>
      <w:r>
        <w:t>Las vulnerabilidades de criticidad alta representan riesgos inmediatos que deben abordarse de forma prioritaria. La implementación de controles de seguridad robustos, junto con auditorías periódicas y monitoreo continuo, es esencial para garantizar la resiliencia del entorno.</w:t>
      </w:r>
    </w:p>
    <w:p>
      <w:pPr>
        <w:pStyle w:val="Heading1"/>
      </w:pPr>
      <w:r>
        <w:t>Recomendaciones Finales</w:t>
      </w:r>
    </w:p>
    <w:p>
      <w:r>
        <w:t>- Fortalecer la identidad digital: MFA resistente al phishing, revisiones de cuentas y accesos just-in-time.</w:t>
      </w:r>
    </w:p>
    <w:p>
      <w:r>
        <w:t>- Aumentar la visibilidad entre dominios: Integración de SIEM/XDR para correlación de eventos.</w:t>
      </w:r>
    </w:p>
    <w:p>
      <w:r>
        <w:t>- Defender la nube como infraestructura central: CNAPP con CDR para proteger aplicaciones nativas en la nube.</w:t>
      </w:r>
    </w:p>
    <w:p>
      <w:r>
        <w:t>- Priorizar vulnerabilidades: Parches regulares y gestión proactiva de riesgos.</w:t>
      </w:r>
    </w:p>
    <w:p>
      <w:r>
        <w:t>- Conocer al adversario: Inteligencia de amenazas y ejercicios de simulación para anticipar ataques.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</w:rPr>
      <w:t>Blandskron | Informe de Auditoría de Seguridad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