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Ciberseguridad</w:t>
      </w:r>
    </w:p>
    <w:p>
      <w:r>
        <w:t>Organización auditada: [Nombre de la organización]</w:t>
      </w:r>
    </w:p>
    <w:p>
      <w:r>
        <w:t>Auditor / Consultora: [Nombre del auditor o consultora]</w:t>
      </w:r>
    </w:p>
    <w:p>
      <w:r>
        <w:t>Fecha de emisión: [dd/mm/aaaa]</w:t>
      </w:r>
    </w:p>
    <w:p>
      <w:r>
        <w:t>Clasificación: Confidencial / Uso interno / Público restringido</w:t>
      </w:r>
    </w:p>
    <w:p>
      <w:r>
        <w:t>Versión: 1.0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 xml:space="preserve">Este informe presenta los resultados de la auditoría de ciberseguridad realizada sobre los sistemas críticos de la organización. </w:t>
        <w:br/>
        <w:t xml:space="preserve">Se identificaron hallazgos de distinta severidad que podrían afectar la confidencialidad, integridad y disponibilidad de la información. </w:t>
        <w:br/>
        <w:t xml:space="preserve">Se destacan vulnerabilidades críticas en la gestión de credenciales, controles de acceso y configuraciones de red. </w:t>
        <w:br/>
        <w:t xml:space="preserve">El nivel de riesgo global se considera ALTO, con impacto potencial significativo en la continuidad del negocio. </w:t>
        <w:br/>
        <w:t>Se recomienda priorizar la implementación de autenticación multifactor, segmentación de red y refuerzo de políticas de seguridad.</w:t>
      </w:r>
    </w:p>
    <w:p>
      <w:r>
        <w:br w:type="page"/>
      </w:r>
    </w:p>
    <w:p>
      <w:pPr>
        <w:pStyle w:val="Heading1"/>
      </w:pPr>
      <w:r>
        <w:t>Alcance y Objetivos</w:t>
      </w:r>
    </w:p>
    <w:p>
      <w:r>
        <w:t xml:space="preserve">El alcance incluyó la evaluación de aplicaciones web críticas, infraestructura de red perimetral, servidores internos y políticas de seguridad. </w:t>
        <w:br/>
        <w:t xml:space="preserve">Se excluyeron pruebas de denegación de servicio (DoS) y entornos de desarrollo. </w:t>
        <w:br/>
        <w:t>Los objetivos fueron: identificar vulnerabilidades técnicas, evaluar la madurez de controles, y analizar el cumplimiento normativo.</w:t>
      </w:r>
    </w:p>
    <w:p>
      <w:r>
        <w:br w:type="page"/>
      </w:r>
    </w:p>
    <w:p>
      <w:pPr>
        <w:pStyle w:val="Heading1"/>
      </w:pPr>
      <w:r>
        <w:t>Metodología</w:t>
      </w:r>
    </w:p>
    <w:p>
      <w:r>
        <w:t xml:space="preserve">La auditoría se realizó siguiendo marcos reconocidos como OWASP, NIST SP 800-115 y ISO 27001. </w:t>
        <w:br/>
        <w:t xml:space="preserve">Las fases incluyeron recolección de información, análisis de vulnerabilidades, pruebas de explotación controlada y validación de resultados. </w:t>
        <w:br/>
        <w:t xml:space="preserve">Se emplearon herramientas como Nessus, Burp Suite, Metasploit y escáneres de configuración. </w:t>
        <w:br/>
        <w:t>Los riesgos fueron clasificados en Crítico, Alto, Medio y Bajo según impacto y probabilidad.</w:t>
      </w:r>
    </w:p>
    <w:p>
      <w:r>
        <w:br w:type="page"/>
      </w:r>
    </w:p>
    <w:p>
      <w:pPr>
        <w:pStyle w:val="Heading1"/>
      </w:pPr>
      <w:r>
        <w:t>Descripción del Entorno Evaluado</w:t>
      </w:r>
    </w:p>
    <w:p>
      <w:r>
        <w:t xml:space="preserve">La organización cuenta con una arquitectura híbrida que combina infraestructura on-premise y servicios en la nube. </w:t>
        <w:br/>
        <w:t xml:space="preserve">Se evaluaron dos aplicaciones web críticas, la red interna corporativa, sistemas de autenticación centralizados y mecanismos de respaldo. </w:t>
        <w:br/>
        <w:t>Existen controles de seguridad básicos implementados, aunque se identificaron debilidades en la gestión de parches y la segmentación de la red.</w:t>
      </w:r>
    </w:p>
    <w:p>
      <w:r>
        <w:br w:type="page"/>
      </w:r>
    </w:p>
    <w:p>
      <w:pPr>
        <w:pStyle w:val="Heading1"/>
      </w:pPr>
      <w:r>
        <w:t>Hallazgos Detallados</w:t>
      </w:r>
    </w:p>
    <w:p>
      <w:r>
        <w:t xml:space="preserve">Ejemplo de hallazgo: </w:t>
        <w:br/>
        <w:t xml:space="preserve">Título: Almacenamiento inseguro de contraseñas. </w:t>
        <w:br/>
        <w:t xml:space="preserve">Descripción: Se identificó que las contraseñas de usuarios se almacenan en texto plano en la base de datos. </w:t>
        <w:br/>
        <w:t xml:space="preserve">Evidencia: Consultas SQL sobre la tabla 'users' mostraron credenciales sin cifrar. </w:t>
        <w:br/>
        <w:t xml:space="preserve">Impacto técnico: Alto riesgo de compromiso de cuentas. </w:t>
        <w:br/>
        <w:t xml:space="preserve">Impacto de negocio: Posible filtración masiva de datos sensibles. </w:t>
        <w:br/>
        <w:t xml:space="preserve">Probabilidad: Alta. </w:t>
        <w:br/>
        <w:t xml:space="preserve">Severidad: Crítica. </w:t>
        <w:br/>
        <w:t>Referencia: OWASP Top 10 - A02:2021 - Cryptographic Failures.</w:t>
      </w:r>
    </w:p>
    <w:p>
      <w:r>
        <w:br w:type="page"/>
      </w:r>
    </w:p>
    <w:p>
      <w:pPr>
        <w:pStyle w:val="Heading1"/>
      </w:pPr>
      <w:r>
        <w:t>Recomendaciones de Seguridad</w:t>
      </w:r>
    </w:p>
    <w:p>
      <w:r>
        <w:t xml:space="preserve">Se recomienda implementar almacenamiento seguro de contraseñas con algoritmos modernos de hash (ej. bcrypt, Argon2). </w:t>
        <w:br/>
        <w:t>Adicionalmente, se sugiere reforzar políticas de acceso, segmentación de redes críticas y la adopción de autenticación multifactor en todos los sistemas críticos.</w:t>
      </w:r>
    </w:p>
    <w:p>
      <w:r>
        <w:br w:type="page"/>
      </w:r>
    </w:p>
    <w:p>
      <w:pPr>
        <w:pStyle w:val="Heading1"/>
      </w:pPr>
      <w:r>
        <w:t>Evaluación Global del Riesgo</w:t>
      </w:r>
    </w:p>
    <w:p>
      <w:r>
        <w:t xml:space="preserve">El análisis consolidado muestra que el 25% de los hallazgos son críticos, 40% altos, 25% medios y 10% bajos. </w:t>
        <w:br/>
        <w:t xml:space="preserve">Se construyó una matriz de riesgos y un mapa de calor para visualizar prioridades. </w:t>
        <w:br/>
        <w:t>El nivel de madurez en ciberseguridad se evalúa en un nivel intermedio, con necesidad de inversión en controles avanzados.</w:t>
      </w:r>
    </w:p>
    <w:p>
      <w:r>
        <w:br w:type="page"/>
      </w:r>
    </w:p>
    <w:p>
      <w:pPr>
        <w:pStyle w:val="Heading1"/>
      </w:pPr>
      <w:r>
        <w:t>Cumplimiento Normativo</w:t>
      </w:r>
    </w:p>
    <w:p>
      <w:r>
        <w:t xml:space="preserve">Se compararon los hallazgos con ISO 27001, PCI-DSS y GDPR. </w:t>
        <w:br/>
        <w:t xml:space="preserve">Se identificaron brechas en controles de gestión de identidades, cifrado de datos sensibles y registros de auditoría. </w:t>
        <w:br/>
        <w:t>El nivel de cumplimiento estimado es del 65% respecto de las normativas aplicables.</w:t>
      </w:r>
    </w:p>
    <w:p>
      <w:r>
        <w:br w:type="page"/>
      </w:r>
    </w:p>
    <w:p>
      <w:pPr>
        <w:pStyle w:val="Heading1"/>
      </w:pPr>
      <w:r>
        <w:t>Conclusiones Generales</w:t>
      </w:r>
    </w:p>
    <w:p>
      <w:r>
        <w:t xml:space="preserve">El estado general de la seguridad es insuficiente para garantizar continuidad frente a ataques avanzados. </w:t>
        <w:br/>
        <w:t xml:space="preserve">Los principales riesgos estratégicos incluyen compromiso de credenciales, falta de segmentación y exposición a ransomware. </w:t>
        <w:br/>
        <w:t xml:space="preserve">Se recomienda inversión inmediata en medidas de prevención, detección y respuesta a incidentes. </w:t>
        <w:br/>
        <w:t>A futuro, la organización debe transitar hacia un modelo Zero Trust.</w:t>
      </w:r>
    </w:p>
    <w:p>
      <w:r>
        <w:br w:type="page"/>
      </w:r>
    </w:p>
    <w:p>
      <w:pPr>
        <w:pStyle w:val="Heading1"/>
      </w:pPr>
      <w:r>
        <w:t>Contexto de Amenazas y Tendencias</w:t>
      </w:r>
    </w:p>
    <w:p>
      <w:r>
        <w:t xml:space="preserve">Actualmente se observan campañas globales de ransomware dirigidas a sectores financieros y de salud. </w:t>
        <w:br/>
        <w:t xml:space="preserve">El phishing sigue siendo el vector de ataque más frecuente. </w:t>
        <w:br/>
        <w:t>Se detectan también amenazas emergentes relacionadas con inteligencia artificial y explotación de servicios en la nube.</w:t>
      </w:r>
    </w:p>
    <w:p>
      <w:r>
        <w:br w:type="page"/>
      </w:r>
    </w:p>
    <w:p>
      <w:pPr>
        <w:pStyle w:val="Heading1"/>
      </w:pPr>
      <w:r>
        <w:t>Limitaciones y Consideraciones Éticas</w:t>
      </w:r>
    </w:p>
    <w:p>
      <w:r>
        <w:t xml:space="preserve">La auditoría se realizó bajo principios de ética profesional, sin ejecutar ataques destructivos ni técnicas de denegación de servicio. </w:t>
        <w:br/>
        <w:t>Se respetaron las políticas de privacidad de la organización y toda la información recolectada se mantiene bajo estricta confidencialidad.</w:t>
      </w:r>
    </w:p>
    <w:p>
      <w:r>
        <w:br w:type="page"/>
      </w:r>
    </w:p>
    <w:p>
      <w:pPr>
        <w:pStyle w:val="Heading1"/>
      </w:pPr>
      <w:r>
        <w:t>Plan de Acción Prioritario</w:t>
      </w:r>
    </w:p>
    <w:p>
      <w:r>
        <w:t xml:space="preserve">Acciones inmediatas: aplicar parches críticos y reforzar controles de acceso. </w:t>
        <w:br/>
        <w:t xml:space="preserve">Mediano plazo: implementar monitoreo centralizado, segmentación de redes y capacitación en seguridad. </w:t>
        <w:br/>
        <w:t>Largo plazo: adopción de arquitecturas Zero Trust, automatización de controles y certificación ISO 27001.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