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Calibri" w:hAnsi="Calibri" w:cs="Calibri"/>
          <w:b/>
          <w:i w:val="0"/>
          <w:color w:val="595959"/>
          <w:sz w:val="18"/>
        </w:rPr>
        <w:t>TECHNICAL WHITE PAPER</w:t>
      </w:r>
    </w:p>
    <w:p>
      <w:pPr>
        <w:spacing w:before="0" w:after="200" w:line="252" w:lineRule="auto"/>
        <w:jc w:val="center"/>
      </w:pPr>
      <w:r>
        <w:rPr>
          <w:rFonts w:ascii="Calibri" w:hAnsi="Calibri" w:cs="Calibri"/>
          <w:b/>
          <w:i w:val="0"/>
          <w:color w:val="000000"/>
          <w:sz w:val="38"/>
        </w:rPr>
        <w:t>Kyron eKYC: A Robust, Explainable, IAL2-Aligned Pipeline for Remote Identity Proofing and Face Login</w:t>
      </w:r>
    </w:p>
    <w:p>
      <w:pPr>
        <w:spacing w:before="0" w:after="40" w:line="276" w:lineRule="auto"/>
        <w:jc w:val="center"/>
      </w:pPr>
      <w:r>
        <w:rPr>
          <w:rFonts w:ascii="Calibri" w:hAnsi="Calibri" w:cs="Calibri"/>
          <w:b/>
          <w:i w:val="0"/>
          <w:color w:val="000000"/>
          <w:sz w:val="22"/>
        </w:rPr>
        <w:t>Kyron Research Team</w:t>
      </w:r>
    </w:p>
    <w:p>
      <w:pPr>
        <w:spacing w:before="0" w:after="80" w:line="276" w:lineRule="auto"/>
        <w:jc w:val="center"/>
        <w:pBdr>
          <w:bottom w:val="single" w:sz="6" w:space="3" w:color="000000"/>
        </w:pBdr>
      </w:pPr>
      <w:r>
        <w:rPr>
          <w:rFonts w:ascii="Calibri" w:hAnsi="Calibri" w:cs="Calibri"/>
          <w:b w:val="0"/>
          <w:i/>
          <w:color w:val="595959"/>
          <w:sz w:val="19"/>
        </w:rPr>
        <w:t>⟨author names⟩  ·  ⟨affiliation⟩  ·  ⟨corresponding e-mail⟩</w:t>
      </w:r>
    </w:p>
    <w:p>
      <w:pPr>
        <w:spacing w:before="0" w:after="200" w:line="276" w:lineRule="auto"/>
        <w:jc w:val="center"/>
      </w:pPr>
      <w:r>
        <w:rPr>
          <w:rFonts w:ascii="Calibri" w:hAnsi="Calibri" w:cs="Calibri"/>
          <w:b w:val="0"/>
          <w:i w:val="0"/>
          <w:color w:val="595959"/>
          <w:sz w:val="19"/>
        </w:rPr>
        <w:t>Draft v1.0  ·  July 2026</w:t>
      </w:r>
    </w:p>
    <w:tbl>
      <w:tblPr>
        <w:tblStyle w:val="TableGrid"/>
        <w:tblW w:type="auto" w:w="0"/>
        <w:tblLook w:firstColumn="1" w:firstRow="1" w:lastColumn="0" w:lastRow="0" w:noHBand="0" w:noVBand="1" w:val="04A0"/>
      </w:tblPr>
      <w:tblGrid>
        <w:gridCol w:w="9360"/>
      </w:tblGrid>
      <w:tr>
        <w:tc>
          <w:tcPr>
            <w:tcW w:type="dxa" w:w="9360"/>
          </w:tcPr>
          <w:p>
            <w:pPr>
              <w:spacing w:before="80" w:after="80"/>
            </w:pPr>
            <w:r/>
            <w:r>
              <w:rPr>
                <w:rFonts w:ascii="Calibri" w:hAnsi="Calibri" w:cs="Calibri"/>
                <w:b/>
                <w:i w:val="0"/>
                <w:color w:val="000000"/>
                <w:sz w:val="20"/>
              </w:rPr>
              <w:t xml:space="preserve">Disclaimer.  </w:t>
            </w:r>
            <w:r>
              <w:rPr>
                <w:rFonts w:ascii="Calibri" w:hAnsi="Calibri" w:cs="Calibri"/>
                <w:b w:val="0"/>
                <w:i/>
                <w:color w:val="000000"/>
                <w:sz w:val="20"/>
              </w:rPr>
              <w:t>Kyron is designed toward NIST SP 800-63A IAL2 alignment. This paper does not claim NIST, ISO, bank-grade, or government certification. All quantitative results are measured on the datasets described in Section 7 and are operating-point estimates pending a larger, independently labelled validation study.</w:t>
            </w:r>
          </w:p>
        </w:tc>
      </w:tr>
    </w:tbl>
    <w:p>
      <w:pPr>
        <w:spacing w:before="0" w:after="160" w:line="276" w:lineRule="auto"/>
      </w:pPr>
    </w:p>
    <w:p>
      <w:pPr>
        <w:spacing w:before="280" w:after="80" w:line="276" w:lineRule="auto"/>
        <w:pBdr>
          <w:bottom w:val="single" w:sz="6" w:space="3" w:color="000000"/>
        </w:pBdr>
      </w:pPr>
      <w:r>
        <w:rPr>
          <w:rFonts w:ascii="Calibri" w:hAnsi="Calibri" w:cs="Calibri"/>
          <w:b/>
          <w:i w:val="0"/>
          <w:color w:val="000000"/>
          <w:sz w:val="28"/>
        </w:rPr>
        <w:t>Abstract</w:t>
      </w:r>
    </w:p>
    <w:p>
      <w:pPr>
        <w:spacing w:before="0" w:after="120" w:line="276" w:lineRule="auto"/>
        <w:jc w:val="both"/>
      </w:pPr>
      <w:r>
        <w:rPr>
          <w:rFonts w:ascii="Calibri" w:hAnsi="Calibri" w:cs="Calibri"/>
          <w:b w:val="0"/>
          <w:i w:val="0"/>
          <w:color w:val="000000"/>
          <w:sz w:val="21"/>
        </w:rPr>
        <w:t>Remote (unsupervised) identity proofing must simultaneously read and validate a government identity document, establish that a live human — not a photograph, screen, or mask — is present, and bind that human to the document portrait, all from consumer cameras under uncontrolled lighting and capture conditions. We present Kyron eKYC, a web-first pipeline (Python/FastAPI backend, React/Vite client) that composes document fraud detection, ICAO 9303 machine-readable-zone (MRZ) reading, passive presentation-attack detection (PAD), browser-side active liveness, and face matching into a single explainable risk decision aligned to NIST SP 800-63A Identity Assurance Level 2. We describe the architecture and, in particular, a set of robustness fixes that materially improve real-world read rates: correct handling of ICAO two-letter document types, MRZ-crop super-resolution, conditional illumination normalization, positional re-alignment of the OCR name line, and a mirrored-document detector. On a 150-image passport benchmark, MRZ detection rises from 52.9% to 67.3% and fully check-digit-valid reads from 35.1% to 46.0%; conditional on a valid read, date-of-birth and sex accuracy are 100%, expiry 99%, and document number 93%. For selfie capture, face-region light metering plus a low-light rescue path raise dark-room face detection from 25% to 95% with no regression on well-lit images. We discuss privacy-preserving data handling, the IAL2 alignment matrix, and the hardening required before formal certification.</w:t>
      </w:r>
    </w:p>
    <w:p>
      <w:pPr>
        <w:spacing w:before="0" w:after="120" w:line="276" w:lineRule="auto"/>
      </w:pPr>
      <w:r>
        <w:rPr>
          <w:rFonts w:ascii="Calibri" w:hAnsi="Calibri" w:cs="Calibri"/>
          <w:b/>
          <w:i w:val="0"/>
          <w:color w:val="000000"/>
          <w:sz w:val="20"/>
        </w:rPr>
        <w:t xml:space="preserve">Keywords: </w:t>
      </w:r>
      <w:r>
        <w:rPr>
          <w:rFonts w:ascii="Calibri" w:hAnsi="Calibri" w:cs="Calibri"/>
          <w:b w:val="0"/>
          <w:i/>
          <w:color w:val="000000"/>
          <w:sz w:val="20"/>
        </w:rPr>
        <w:t>identity proofing, eKYC, NIST IAL2, presentation attack detection, liveness, MRZ/OCR, face recognition, ISO/IEC 30107.</w:t>
      </w:r>
    </w:p>
    <w:p>
      <w:pPr>
        <w:spacing w:before="280" w:after="80" w:line="276" w:lineRule="auto"/>
        <w:pBdr>
          <w:bottom w:val="single" w:sz="6" w:space="3" w:color="000000"/>
        </w:pBdr>
      </w:pPr>
      <w:r>
        <w:rPr>
          <w:rFonts w:ascii="Calibri" w:hAnsi="Calibri" w:cs="Calibri"/>
          <w:b/>
          <w:i w:val="0"/>
          <w:color w:val="000000"/>
          <w:sz w:val="28"/>
        </w:rPr>
        <w:t>1.  Introduction</w:t>
      </w:r>
    </w:p>
    <w:p>
      <w:pPr>
        <w:spacing w:before="0" w:after="120" w:line="276" w:lineRule="auto"/>
        <w:jc w:val="both"/>
      </w:pPr>
      <w:r>
        <w:rPr>
          <w:rFonts w:ascii="Calibri" w:hAnsi="Calibri" w:cs="Calibri"/>
          <w:b w:val="0"/>
          <w:i w:val="0"/>
          <w:color w:val="000000"/>
          <w:sz w:val="21"/>
        </w:rPr>
        <w:t>Digital onboarding for banking, telecom, and government services increasingly relies on remote identity proofing: a user, alone with a phone or laptop, presents an identity document and their face, and an automated system decides whether to trust the claimed identity. Unlike supervised (in-person) proofing, the system cannot control lighting, camera quality, document handling, or the presence of an operator to detect obvious spoofs. The adversary, by contrast, can present printed photos, replayed video, screen captures, masks, and tampered or substituted documents.</w:t>
      </w:r>
    </w:p>
    <w:p>
      <w:pPr>
        <w:spacing w:before="0" w:after="120" w:line="276" w:lineRule="auto"/>
        <w:jc w:val="both"/>
      </w:pPr>
      <w:r>
        <w:rPr>
          <w:rFonts w:ascii="Calibri" w:hAnsi="Calibri" w:cs="Calibri"/>
          <w:b w:val="0"/>
          <w:i w:val="0"/>
          <w:color w:val="000000"/>
          <w:sz w:val="21"/>
        </w:rPr>
        <w:t>This paper describes Kyron eKYC, a prototype that treats remote proofing as a composition of independent, individually-explainable checks rather than a single black-box classifier. Each stage emits typed reason codes and calibrated risk contributions, and the final decision is an auditable function of those signals. This design is motivated by two requirements that pure end-to-end models struggle to satisfy: regulatory expectations for explainability and redress, and operational debuggability when a genuine user is wrongly rejected.</w:t>
      </w:r>
    </w:p>
    <w:p>
      <w:pPr>
        <w:spacing w:before="0" w:after="80" w:line="276" w:lineRule="auto"/>
      </w:pPr>
      <w:r>
        <w:rPr>
          <w:rFonts w:ascii="Calibri" w:hAnsi="Calibri" w:cs="Calibri"/>
          <w:b w:val="0"/>
          <w:i w:val="0"/>
          <w:color w:val="000000"/>
          <w:sz w:val="21"/>
        </w:rPr>
        <w:t>In summary, the contributions of this paper are:</w:t>
      </w:r>
    </w:p>
    <w:p>
      <w:pPr>
        <w:pStyle w:val="ListNumber"/>
        <w:spacing w:before="0" w:after="60" w:line="276" w:lineRule="auto"/>
      </w:pPr>
      <w:r>
        <w:rPr>
          <w:rFonts w:ascii="Calibri" w:hAnsi="Calibri" w:cs="Calibri"/>
          <w:b w:val="0"/>
          <w:i w:val="0"/>
          <w:color w:val="000000"/>
          <w:sz w:val="21"/>
        </w:rPr>
        <w:t>An explainable, standards-aligned pipeline spanning document fraud detection, MRZ/OCR, passive and active liveness, and face matching, with a per-signal risk model (Sections 3–5).</w:t>
      </w:r>
    </w:p>
    <w:p>
      <w:pPr>
        <w:pStyle w:val="ListNumber"/>
        <w:spacing w:before="0" w:after="60" w:line="276" w:lineRule="auto"/>
      </w:pPr>
      <w:r>
        <w:rPr>
          <w:rFonts w:ascii="Calibri" w:hAnsi="Calibri" w:cs="Calibri"/>
          <w:b w:val="0"/>
          <w:i w:val="0"/>
          <w:color w:val="000000"/>
          <w:sz w:val="21"/>
        </w:rPr>
        <w:t>Robustness engineering for real-world capture (Section 6): six OCR/MRZ correctness and legibility fixes and a two-part lighting-robustness change, each isolated and measured.</w:t>
      </w:r>
    </w:p>
    <w:p>
      <w:pPr>
        <w:pStyle w:val="ListNumber"/>
        <w:spacing w:before="0" w:after="60" w:line="276" w:lineRule="auto"/>
      </w:pPr>
      <w:r>
        <w:rPr>
          <w:rFonts w:ascii="Calibri" w:hAnsi="Calibri" w:cs="Calibri"/>
          <w:b w:val="0"/>
          <w:i w:val="0"/>
          <w:color w:val="000000"/>
          <w:sz w:val="21"/>
        </w:rPr>
        <w:t>An empirical evaluation (Section 7) on document, spoof, and liveness datasets, reporting before/after effects of each change and honest failure analysis.</w:t>
      </w:r>
    </w:p>
    <w:p>
      <w:pPr>
        <w:pStyle w:val="ListNumber"/>
        <w:spacing w:before="0" w:after="60" w:line="276" w:lineRule="auto"/>
      </w:pPr>
      <w:r>
        <w:rPr>
          <w:rFonts w:ascii="Calibri" w:hAnsi="Calibri" w:cs="Calibri"/>
          <w:b w:val="0"/>
          <w:i w:val="0"/>
          <w:color w:val="000000"/>
          <w:sz w:val="21"/>
        </w:rPr>
        <w:t>A NIST IAL2 alignment matrix and hardening roadmap (Sections 8–10) separating what is demonstrated from what remains for certification.</w:t>
      </w:r>
    </w:p>
    <w:p>
      <w:pPr>
        <w:spacing w:before="280" w:after="80" w:line="276" w:lineRule="auto"/>
        <w:pBdr>
          <w:bottom w:val="single" w:sz="6" w:space="3" w:color="000000"/>
        </w:pBdr>
      </w:pPr>
      <w:r>
        <w:rPr>
          <w:rFonts w:ascii="Calibri" w:hAnsi="Calibri" w:cs="Calibri"/>
          <w:b/>
          <w:i w:val="0"/>
          <w:color w:val="000000"/>
          <w:sz w:val="28"/>
        </w:rPr>
        <w:t>2.  Background and Standards Basis</w:t>
      </w:r>
    </w:p>
    <w:p>
      <w:pPr>
        <w:spacing w:before="0" w:after="80" w:line="276" w:lineRule="auto"/>
      </w:pPr>
      <w:r>
        <w:rPr>
          <w:rFonts w:ascii="Calibri" w:hAnsi="Calibri" w:cs="Calibri"/>
          <w:b w:val="0"/>
          <w:i w:val="0"/>
          <w:color w:val="000000"/>
          <w:sz w:val="21"/>
        </w:rPr>
        <w:t>Kyron is designed against four normative references.</w:t>
      </w:r>
    </w:p>
    <w:p>
      <w:pPr>
        <w:pStyle w:val="ListBullet"/>
        <w:spacing w:before="0" w:after="60" w:line="276" w:lineRule="auto"/>
      </w:pPr>
      <w:r>
        <w:rPr>
          <w:rFonts w:ascii="Calibri" w:hAnsi="Calibri" w:cs="Calibri"/>
          <w:b/>
          <w:i w:val="0"/>
          <w:color w:val="000000"/>
          <w:sz w:val="21"/>
        </w:rPr>
        <w:t xml:space="preserve">NIST SP 800-63A </w:t>
      </w:r>
      <w:r>
        <w:rPr>
          <w:rFonts w:ascii="Calibri" w:hAnsi="Calibri" w:cs="Calibri"/>
          <w:b w:val="0"/>
          <w:i w:val="0"/>
          <w:color w:val="000000"/>
          <w:sz w:val="21"/>
        </w:rPr>
        <w:t>requires validation of strong or superior evidence, verification that the evidence belongs to the applicant (typically a biometric comparison with liveness), and fraud/duplicate checks.</w:t>
      </w:r>
    </w:p>
    <w:p>
      <w:pPr>
        <w:pStyle w:val="ListBullet"/>
        <w:spacing w:before="0" w:after="60" w:line="276" w:lineRule="auto"/>
      </w:pPr>
      <w:r>
        <w:rPr>
          <w:rFonts w:ascii="Calibri" w:hAnsi="Calibri" w:cs="Calibri"/>
          <w:b/>
          <w:i w:val="0"/>
          <w:color w:val="000000"/>
          <w:sz w:val="21"/>
        </w:rPr>
        <w:t xml:space="preserve">ICAO Doc 9303 </w:t>
      </w:r>
      <w:r>
        <w:rPr>
          <w:rFonts w:ascii="Calibri" w:hAnsi="Calibri" w:cs="Calibri"/>
          <w:b w:val="0"/>
          <w:i w:val="0"/>
          <w:color w:val="000000"/>
          <w:sz w:val="21"/>
        </w:rPr>
        <w:t>defines the TD3 passport MRZ: two 44-character lines, field offsets, the 7-3-1 weighted check-digit scheme, and the composite check, implemented directly by our reader.</w:t>
      </w:r>
    </w:p>
    <w:p>
      <w:pPr>
        <w:pStyle w:val="ListBullet"/>
        <w:spacing w:before="0" w:after="60" w:line="276" w:lineRule="auto"/>
      </w:pPr>
      <w:r>
        <w:rPr>
          <w:rFonts w:ascii="Calibri" w:hAnsi="Calibri" w:cs="Calibri"/>
          <w:b/>
          <w:i w:val="0"/>
          <w:color w:val="000000"/>
          <w:sz w:val="21"/>
        </w:rPr>
        <w:t xml:space="preserve">ISO/IEC 30107-3 </w:t>
      </w:r>
      <w:r>
        <w:rPr>
          <w:rFonts w:ascii="Calibri" w:hAnsi="Calibri" w:cs="Calibri"/>
          <w:b w:val="0"/>
          <w:i w:val="0"/>
          <w:color w:val="000000"/>
          <w:sz w:val="21"/>
        </w:rPr>
        <w:t>frames PAD evaluation via the Attack and Bona-fide Presentation Classification Error Rates (APCER, BPCER).</w:t>
      </w:r>
    </w:p>
    <w:p>
      <w:pPr>
        <w:pStyle w:val="ListBullet"/>
        <w:spacing w:before="0" w:after="60" w:line="276" w:lineRule="auto"/>
      </w:pPr>
      <w:r>
        <w:rPr>
          <w:rFonts w:ascii="Calibri" w:hAnsi="Calibri" w:cs="Calibri"/>
          <w:b/>
          <w:i w:val="0"/>
          <w:color w:val="000000"/>
          <w:sz w:val="21"/>
        </w:rPr>
        <w:t xml:space="preserve">FATF Digital ID guidance </w:t>
      </w:r>
      <w:r>
        <w:rPr>
          <w:rFonts w:ascii="Calibri" w:hAnsi="Calibri" w:cs="Calibri"/>
          <w:b w:val="0"/>
          <w:i w:val="0"/>
          <w:color w:val="000000"/>
          <w:sz w:val="21"/>
        </w:rPr>
        <w:t>motivates risk-based assurance, auditability, and ongoing monitoring, reflected in the reason-code and audit design.</w:t>
      </w:r>
    </w:p>
    <w:p>
      <w:pPr>
        <w:spacing w:before="280" w:after="80" w:line="276" w:lineRule="auto"/>
        <w:pBdr>
          <w:bottom w:val="single" w:sz="6" w:space="3" w:color="000000"/>
        </w:pBdr>
      </w:pPr>
      <w:r>
        <w:rPr>
          <w:rFonts w:ascii="Calibri" w:hAnsi="Calibri" w:cs="Calibri"/>
          <w:b/>
          <w:i w:val="0"/>
          <w:color w:val="000000"/>
          <w:sz w:val="28"/>
        </w:rPr>
        <w:t>3.  System Architecture</w:t>
      </w:r>
    </w:p>
    <w:p>
      <w:pPr>
        <w:spacing w:before="200" w:after="80" w:line="276" w:lineRule="auto"/>
      </w:pPr>
      <w:r>
        <w:rPr>
          <w:rFonts w:ascii="Calibri" w:hAnsi="Calibri" w:cs="Calibri"/>
          <w:b/>
          <w:i w:val="0"/>
          <w:color w:val="000000"/>
          <w:sz w:val="23"/>
        </w:rPr>
        <w:t>3.1  End-to-end flow</w:t>
      </w:r>
    </w:p>
    <w:p>
      <w:pPr>
        <w:pStyle w:val="ListNumber"/>
        <w:spacing w:before="0" w:after="60" w:line="276" w:lineRule="auto"/>
      </w:pPr>
      <w:r>
        <w:rPr>
          <w:rFonts w:ascii="Calibri" w:hAnsi="Calibri" w:cs="Calibri"/>
          <w:b w:val="0"/>
          <w:i w:val="0"/>
          <w:color w:val="000000"/>
          <w:sz w:val="21"/>
        </w:rPr>
        <w:t>Document capture (passport / Lao ID) → quality, document-likeness, MRZ/OCR, forensics, fraud ensemble. A rejection returns a specific reason code and a retake prompt.</w:t>
      </w:r>
    </w:p>
    <w:p>
      <w:pPr>
        <w:pStyle w:val="ListNumber"/>
        <w:spacing w:before="0" w:after="60" w:line="276" w:lineRule="auto"/>
      </w:pPr>
      <w:r>
        <w:rPr>
          <w:rFonts w:ascii="Calibri" w:hAnsi="Calibri" w:cs="Calibri"/>
          <w:b w:val="0"/>
          <w:i w:val="0"/>
          <w:color w:val="000000"/>
          <w:sz w:val="21"/>
        </w:rPr>
        <w:t>Active liveness → randomized blink / open-mouth / head-turn challenges, with backend-verified evidence bursts.</w:t>
      </w:r>
    </w:p>
    <w:p>
      <w:pPr>
        <w:pStyle w:val="ListNumber"/>
        <w:spacing w:before="0" w:after="60" w:line="276" w:lineRule="auto"/>
      </w:pPr>
      <w:r>
        <w:rPr>
          <w:rFonts w:ascii="Calibri" w:hAnsi="Calibri" w:cs="Calibri"/>
          <w:b w:val="0"/>
          <w:i w:val="0"/>
          <w:color w:val="000000"/>
          <w:sz w:val="21"/>
        </w:rPr>
        <w:t>Randomized hand-gesture challenge → three of 23 gestures, easy-weighted.</w:t>
      </w:r>
    </w:p>
    <w:p>
      <w:pPr>
        <w:pStyle w:val="ListNumber"/>
        <w:spacing w:before="0" w:after="60" w:line="276" w:lineRule="auto"/>
      </w:pPr>
      <w:r>
        <w:rPr>
          <w:rFonts w:ascii="Calibri" w:hAnsi="Calibri" w:cs="Calibri"/>
          <w:b w:val="0"/>
          <w:i w:val="0"/>
          <w:color w:val="000000"/>
          <w:sz w:val="21"/>
        </w:rPr>
        <w:t>Selfie passive liveness and face match → 10-frame burst; YuNet + SFace against the document portrait.</w:t>
      </w:r>
    </w:p>
    <w:p>
      <w:pPr>
        <w:pStyle w:val="ListNumber"/>
        <w:spacing w:before="0" w:after="60" w:line="276" w:lineRule="auto"/>
      </w:pPr>
      <w:r>
        <w:rPr>
          <w:rFonts w:ascii="Calibri" w:hAnsi="Calibri" w:cs="Calibri"/>
          <w:b w:val="0"/>
          <w:i w:val="0"/>
          <w:color w:val="000000"/>
          <w:sz w:val="21"/>
        </w:rPr>
        <w:t>Risk decision → typed reason codes, then optional Face ID enrollment and returning-user face login.</w:t>
      </w:r>
    </w:p>
    <w:p>
      <w:pPr>
        <w:spacing w:before="200" w:after="80" w:line="276" w:lineRule="auto"/>
      </w:pPr>
      <w:r>
        <w:rPr>
          <w:rFonts w:ascii="Calibri" w:hAnsi="Calibri" w:cs="Calibri"/>
          <w:b/>
          <w:i w:val="0"/>
          <w:color w:val="000000"/>
          <w:sz w:val="23"/>
        </w:rPr>
        <w:t>3.2  Design principles</w:t>
      </w:r>
    </w:p>
    <w:p>
      <w:pPr>
        <w:pStyle w:val="ListBullet"/>
        <w:spacing w:before="0" w:after="60" w:line="276" w:lineRule="auto"/>
      </w:pPr>
      <w:r>
        <w:rPr>
          <w:rFonts w:ascii="Calibri" w:hAnsi="Calibri" w:cs="Calibri"/>
          <w:b/>
          <w:i w:val="0"/>
          <w:color w:val="000000"/>
          <w:sz w:val="21"/>
        </w:rPr>
        <w:t xml:space="preserve">Composition over monolith: </w:t>
      </w:r>
      <w:r>
        <w:rPr>
          <w:rFonts w:ascii="Calibri" w:hAnsi="Calibri" w:cs="Calibri"/>
          <w:b w:val="0"/>
          <w:i w:val="0"/>
          <w:color w:val="000000"/>
          <w:sz w:val="21"/>
        </w:rPr>
        <w:t>every stage is independently testable and emits reason codes; the decision layer is a transparent aggregation, not a learned end-to-end score.</w:t>
      </w:r>
    </w:p>
    <w:p>
      <w:pPr>
        <w:pStyle w:val="ListBullet"/>
        <w:spacing w:before="0" w:after="60" w:line="276" w:lineRule="auto"/>
      </w:pPr>
      <w:r>
        <w:rPr>
          <w:rFonts w:ascii="Calibri" w:hAnsi="Calibri" w:cs="Calibri"/>
          <w:b/>
          <w:i w:val="0"/>
          <w:color w:val="000000"/>
          <w:sz w:val="21"/>
        </w:rPr>
        <w:t xml:space="preserve">Client/edge split: </w:t>
      </w:r>
      <w:r>
        <w:rPr>
          <w:rFonts w:ascii="Calibri" w:hAnsi="Calibri" w:cs="Calibri"/>
          <w:b w:val="0"/>
          <w:i w:val="0"/>
          <w:color w:val="000000"/>
          <w:sz w:val="21"/>
        </w:rPr>
        <w:t>latency- and privacy-sensitive work runs in the browser; trust-bearing decisions run server-side so a modified client cannot forge them.</w:t>
      </w:r>
    </w:p>
    <w:p>
      <w:pPr>
        <w:pStyle w:val="ListBullet"/>
        <w:spacing w:before="0" w:after="60" w:line="276" w:lineRule="auto"/>
      </w:pPr>
      <w:r>
        <w:rPr>
          <w:rFonts w:ascii="Calibri" w:hAnsi="Calibri" w:cs="Calibri"/>
          <w:b/>
          <w:i w:val="0"/>
          <w:color w:val="000000"/>
          <w:sz w:val="21"/>
        </w:rPr>
        <w:t xml:space="preserve">Fail-explainable: </w:t>
      </w:r>
      <w:r>
        <w:rPr>
          <w:rFonts w:ascii="Calibri" w:hAnsi="Calibri" w:cs="Calibri"/>
          <w:b w:val="0"/>
          <w:i w:val="0"/>
          <w:color w:val="000000"/>
          <w:sz w:val="21"/>
        </w:rPr>
        <w:t>a rejection always carries a human-actionable reason rather than a bare score.</w:t>
      </w:r>
    </w:p>
    <w:p>
      <w:pPr>
        <w:pStyle w:val="ListBullet"/>
        <w:spacing w:before="0" w:after="60" w:line="276" w:lineRule="auto"/>
      </w:pPr>
      <w:r>
        <w:rPr>
          <w:rFonts w:ascii="Calibri" w:hAnsi="Calibri" w:cs="Calibri"/>
          <w:b/>
          <w:i w:val="0"/>
          <w:color w:val="000000"/>
          <w:sz w:val="21"/>
        </w:rPr>
        <w:t xml:space="preserve">Privacy by construction: </w:t>
      </w:r>
      <w:r>
        <w:rPr>
          <w:rFonts w:ascii="Calibri" w:hAnsi="Calibri" w:cs="Calibri"/>
          <w:b w:val="0"/>
          <w:i w:val="0"/>
          <w:color w:val="000000"/>
          <w:sz w:val="21"/>
        </w:rPr>
        <w:t>raw document and selfie images are not persisted during verification; only transient face embeddings live in session state.</w:t>
      </w:r>
    </w:p>
    <w:p>
      <w:pPr>
        <w:spacing w:before="200" w:after="80" w:line="276" w:lineRule="auto"/>
      </w:pPr>
      <w:r>
        <w:rPr>
          <w:rFonts w:ascii="Calibri" w:hAnsi="Calibri" w:cs="Calibri"/>
          <w:b/>
          <w:i w:val="0"/>
          <w:color w:val="000000"/>
          <w:sz w:val="23"/>
        </w:rPr>
        <w:t>3.3  Implementation</w:t>
      </w:r>
    </w:p>
    <w:p>
      <w:pPr>
        <w:spacing w:before="0" w:after="120" w:line="276" w:lineRule="auto"/>
        <w:jc w:val="both"/>
      </w:pPr>
      <w:r>
        <w:rPr>
          <w:rFonts w:ascii="Calibri" w:hAnsi="Calibri" w:cs="Calibri"/>
          <w:b w:val="0"/>
          <w:i w:val="0"/>
          <w:color w:val="000000"/>
          <w:sz w:val="21"/>
        </w:rPr>
        <w:t>The backend is Python/FastAPI with service boundaries for document fraud, model-style document adapters, face biometrics and PAD, and selfie aggregation; profiles persist via SQLAlchemy (SQLite locally, PostgreSQL in deployment). The frontend is React/Vite with in-browser MediaPipe FaceMesh and Hands. OCR uses Tesseract; detection and recognition use OpenCV YuNet and SFace; PAD uses an ONNX MiniFASNet-family ensemble with heuristic corroboration.</w:t>
      </w:r>
    </w:p>
    <w:p>
      <w:pPr>
        <w:spacing w:before="280" w:after="80" w:line="276" w:lineRule="auto"/>
        <w:pBdr>
          <w:bottom w:val="single" w:sz="6" w:space="3" w:color="000000"/>
        </w:pBdr>
      </w:pPr>
      <w:r>
        <w:rPr>
          <w:rFonts w:ascii="Calibri" w:hAnsi="Calibri" w:cs="Calibri"/>
          <w:b/>
          <w:i w:val="0"/>
          <w:color w:val="000000"/>
          <w:sz w:val="28"/>
        </w:rPr>
        <w:t>4.  Methods</w:t>
      </w:r>
    </w:p>
    <w:p>
      <w:pPr>
        <w:spacing w:before="200" w:after="80" w:line="276" w:lineRule="auto"/>
      </w:pPr>
      <w:r>
        <w:rPr>
          <w:rFonts w:ascii="Calibri" w:hAnsi="Calibri" w:cs="Calibri"/>
          <w:b/>
          <w:i w:val="0"/>
          <w:color w:val="000000"/>
          <w:sz w:val="23"/>
        </w:rPr>
        <w:t>4.1  Document quality, likeness, and forensics</w:t>
      </w:r>
    </w:p>
    <w:p>
      <w:pPr>
        <w:spacing w:before="0" w:after="120" w:line="276" w:lineRule="auto"/>
        <w:jc w:val="both"/>
      </w:pPr>
      <w:r>
        <w:rPr>
          <w:rFonts w:ascii="Calibri" w:hAnsi="Calibri" w:cs="Calibri"/>
          <w:b w:val="0"/>
          <w:i w:val="0"/>
          <w:color w:val="000000"/>
          <w:sz w:val="21"/>
        </w:rPr>
        <w:t>Before OCR, each upload is scored for resolution, brightness, contrast, sharpness, glare, and document-likeness (edge density, rectangularity) to reject non-document uploads. Forensic analyzers estimate recapture risk, tamper risk, and portrait substitution — a genuine body and MRZ with a swapped photo — via saturation and noise discontinuities in the portrait region conditioned on MRZ validity. A heuristic and optional-ONNX ensemble fuses these into a fraud-risk score.</w:t>
      </w:r>
    </w:p>
    <w:p>
      <w:pPr>
        <w:spacing w:before="200" w:after="80" w:line="276" w:lineRule="auto"/>
      </w:pPr>
      <w:r>
        <w:rPr>
          <w:rFonts w:ascii="Calibri" w:hAnsi="Calibri" w:cs="Calibri"/>
          <w:b/>
          <w:i w:val="0"/>
          <w:color w:val="000000"/>
          <w:sz w:val="23"/>
        </w:rPr>
        <w:t>4.2  MRZ / OCR (ICAO TD3)</w:t>
      </w:r>
    </w:p>
    <w:p>
      <w:pPr>
        <w:spacing w:before="0" w:after="120" w:line="276" w:lineRule="auto"/>
        <w:jc w:val="both"/>
      </w:pPr>
      <w:r>
        <w:rPr>
          <w:rFonts w:ascii="Calibri" w:hAnsi="Calibri" w:cs="Calibri"/>
          <w:b w:val="0"/>
          <w:i w:val="0"/>
          <w:color w:val="000000"/>
          <w:sz w:val="21"/>
        </w:rPr>
        <w:t>Passport reading parses TD3 field offsets and validates the document-number, birth-date, expiry, optional, and composite check digits with 7-3-1 weighting. Validity is anchored on the check-digit-protected line-2 data, so document number, date of birth, and expiry are trustworthy whenever the MRZ is valid; the alphabetic line-1 name field, which carries no check digit, is best-effort and corrected by the methods in Section 6.</w:t>
      </w:r>
    </w:p>
    <w:p>
      <w:pPr>
        <w:spacing w:before="200" w:after="80" w:line="276" w:lineRule="auto"/>
      </w:pPr>
      <w:r>
        <w:rPr>
          <w:rFonts w:ascii="Calibri" w:hAnsi="Calibri" w:cs="Calibri"/>
          <w:b/>
          <w:i w:val="0"/>
          <w:color w:val="000000"/>
          <w:sz w:val="23"/>
        </w:rPr>
        <w:t>4.3  Passive liveness (PAD)</w:t>
      </w:r>
    </w:p>
    <w:p>
      <w:pPr>
        <w:spacing w:before="0" w:after="120" w:line="276" w:lineRule="auto"/>
        <w:jc w:val="both"/>
      </w:pPr>
      <w:r>
        <w:rPr>
          <w:rFonts w:ascii="Calibri" w:hAnsi="Calibri" w:cs="Calibri"/>
          <w:b w:val="0"/>
          <w:i w:val="0"/>
          <w:color w:val="000000"/>
          <w:sz w:val="21"/>
        </w:rPr>
        <w:t>The selfie stage captures a 10-frame burst and aggregates per-frame PAD, combining a MiniFASNet-family model with corroborating heuristics for screen borders, display-surface moiré, paper-photo texture, and hand-held-phone cues, plus temporal burst checks (near-static frames or absent natural brightness variation indicate a replay). A single-frame model spike is deliberately not sufficient to reject a bona-fide user.</w:t>
      </w:r>
    </w:p>
    <w:p>
      <w:pPr>
        <w:spacing w:before="200" w:after="80" w:line="276" w:lineRule="auto"/>
      </w:pPr>
      <w:r>
        <w:rPr>
          <w:rFonts w:ascii="Calibri" w:hAnsi="Calibri" w:cs="Calibri"/>
          <w:b/>
          <w:i w:val="0"/>
          <w:color w:val="000000"/>
          <w:sz w:val="23"/>
        </w:rPr>
        <w:t>4.4  Active liveness (challenge–response)</w:t>
      </w:r>
    </w:p>
    <w:p>
      <w:pPr>
        <w:spacing w:before="0" w:after="120" w:line="276" w:lineRule="auto"/>
        <w:jc w:val="both"/>
      </w:pPr>
      <w:r>
        <w:rPr>
          <w:rFonts w:ascii="Calibri" w:hAnsi="Calibri" w:cs="Calibri"/>
          <w:b w:val="0"/>
          <w:i w:val="0"/>
          <w:color w:val="000000"/>
          <w:sz w:val="21"/>
        </w:rPr>
        <w:t>The client runs MediaPipe FaceMesh and issues randomized action challenges — blink, open mouth, turn left or right — detected from landmark geometry (eye-aspect ratio, mouth-open ratio, and a nose-offset yaw estimate). On detection the client sends a short evidence burst to the backend, which re-runs face detection and PAD so that a challenge cannot be satisfied by a modified client alone. A randomized hand-gesture challenge adds an interaction that is expensive to pre-render for replay.</w:t>
      </w:r>
    </w:p>
    <w:p>
      <w:pPr>
        <w:spacing w:before="200" w:after="80" w:line="276" w:lineRule="auto"/>
      </w:pPr>
      <w:r>
        <w:rPr>
          <w:rFonts w:ascii="Calibri" w:hAnsi="Calibri" w:cs="Calibri"/>
          <w:b/>
          <w:i w:val="0"/>
          <w:color w:val="000000"/>
          <w:sz w:val="23"/>
        </w:rPr>
        <w:t>4.5  Face matching and Face ID</w:t>
      </w:r>
    </w:p>
    <w:p>
      <w:pPr>
        <w:spacing w:before="0" w:after="120" w:line="276" w:lineRule="auto"/>
        <w:jc w:val="both"/>
      </w:pPr>
      <w:r>
        <w:rPr>
          <w:rFonts w:ascii="Calibri" w:hAnsi="Calibri" w:cs="Calibri"/>
          <w:b w:val="0"/>
          <w:i w:val="0"/>
          <w:color w:val="000000"/>
          <w:sz w:val="21"/>
        </w:rPr>
        <w:t>Face matching uses OpenCV YuNet detection and SFace embeddings, comparing the live selfie embedding to the document-portrait embedding by cosine similarity against a pass threshold, with a borderline band that raises a medium signal. On a passed session, exactly one active face template is enrolled per user and one verified profile per document number, enabling returning-user face login that re-checks passive liveness before matching.</w:t>
      </w:r>
    </w:p>
    <w:p>
      <w:pPr>
        <w:spacing w:before="280" w:after="80" w:line="276" w:lineRule="auto"/>
        <w:pBdr>
          <w:bottom w:val="single" w:sz="6" w:space="3" w:color="000000"/>
        </w:pBdr>
      </w:pPr>
      <w:r>
        <w:rPr>
          <w:rFonts w:ascii="Calibri" w:hAnsi="Calibri" w:cs="Calibri"/>
          <w:b/>
          <w:i w:val="0"/>
          <w:color w:val="000000"/>
          <w:sz w:val="28"/>
        </w:rPr>
        <w:t>5.  Threat Model</w:t>
      </w:r>
    </w:p>
    <w:p>
      <w:pPr>
        <w:spacing w:before="0" w:after="120" w:line="276" w:lineRule="auto"/>
        <w:jc w:val="both"/>
      </w:pPr>
      <w:r>
        <w:rPr>
          <w:rFonts w:ascii="Calibri" w:hAnsi="Calibri" w:cs="Calibri"/>
          <w:b w:val="0"/>
          <w:i w:val="0"/>
          <w:color w:val="000000"/>
          <w:sz w:val="21"/>
        </w:rPr>
        <w:t>We assume a remote attacker who may present a printed photo, photocopy, or scan of a genuine document; replay a screen or video of a face; wear a paper or cutout mask; present a tampered or portrait-substituted document; hold a phone or tablet screen to the camera; or exploit capture artifacts such as front-camera mirroring and extreme back-light to slip a spoof through as “just poor quality”. We do not claim defense against high-fidelity 3-D masks, injection attacks on a compromised device or operating system, or coerced-genuine-user scenarios; these are out of scope for a software-only prototype.</w:t>
      </w:r>
    </w:p>
    <w:p>
      <w:pPr>
        <w:spacing w:before="280" w:after="80" w:line="276" w:lineRule="auto"/>
        <w:pBdr>
          <w:bottom w:val="single" w:sz="6" w:space="3" w:color="000000"/>
        </w:pBdr>
      </w:pPr>
      <w:r>
        <w:rPr>
          <w:rFonts w:ascii="Calibri" w:hAnsi="Calibri" w:cs="Calibri"/>
          <w:b/>
          <w:i w:val="0"/>
          <w:color w:val="000000"/>
          <w:sz w:val="28"/>
        </w:rPr>
        <w:t>6.  Robustness Engineering</w:t>
      </w:r>
    </w:p>
    <w:p>
      <w:pPr>
        <w:spacing w:before="0" w:after="120" w:line="276" w:lineRule="auto"/>
        <w:jc w:val="both"/>
      </w:pPr>
      <w:r>
        <w:rPr>
          <w:rFonts w:ascii="Calibri" w:hAnsi="Calibri" w:cs="Calibri"/>
          <w:b w:val="0"/>
          <w:i w:val="0"/>
          <w:color w:val="000000"/>
          <w:sz w:val="21"/>
        </w:rPr>
        <w:t>Field testing surfaced that the dominant cause of bona-fide failures was not the models but the capture front-end: real documents that would not read, and real faces that would not detect, under ordinary phone-camera conditions. We isolated and measured six document/MRZ fixes and one two-part lighting fix.</w:t>
      </w:r>
    </w:p>
    <w:p>
      <w:pPr>
        <w:spacing w:before="200" w:after="80" w:line="276" w:lineRule="auto"/>
      </w:pPr>
      <w:r>
        <w:rPr>
          <w:rFonts w:ascii="Calibri" w:hAnsi="Calibri" w:cs="Calibri"/>
          <w:b/>
          <w:i w:val="0"/>
          <w:color w:val="000000"/>
          <w:sz w:val="23"/>
        </w:rPr>
        <w:t>6.1  ICAO two-letter document-type acceptance</w:t>
      </w:r>
    </w:p>
    <w:p>
      <w:pPr>
        <w:spacing w:before="0" w:after="120" w:line="276" w:lineRule="auto"/>
        <w:jc w:val="both"/>
      </w:pPr>
      <w:r>
        <w:rPr>
          <w:rFonts w:ascii="Calibri" w:hAnsi="Calibri" w:cs="Calibri"/>
          <w:b w:val="0"/>
          <w:i w:val="0"/>
          <w:color w:val="000000"/>
          <w:sz w:val="21"/>
        </w:rPr>
        <w:t>The MRZ line-1 selector required a “P&lt;” prefix, silently rejecting every passport whose type sub-category is a letter (Lao PO, diplomatic PD, service PS) before any check digit was evaluated. Acceptance was broadened to P plus a filler or letter plus a three-letter issuing country, with a digit-count guard separating the alphabetic name line from the numeric data line. This was the single largest driver of the read-rate gain.</w:t>
      </w:r>
    </w:p>
    <w:p>
      <w:pPr>
        <w:spacing w:before="200" w:after="80" w:line="276" w:lineRule="auto"/>
      </w:pPr>
      <w:r>
        <w:rPr>
          <w:rFonts w:ascii="Calibri" w:hAnsi="Calibri" w:cs="Calibri"/>
          <w:b/>
          <w:i w:val="0"/>
          <w:color w:val="000000"/>
          <w:sz w:val="23"/>
        </w:rPr>
        <w:t>6.2  MRZ-crop super-resolution</w:t>
      </w:r>
    </w:p>
    <w:p>
      <w:pPr>
        <w:spacing w:before="0" w:after="120" w:line="276" w:lineRule="auto"/>
        <w:jc w:val="both"/>
      </w:pPr>
      <w:r>
        <w:rPr>
          <w:rFonts w:ascii="Calibri" w:hAnsi="Calibri" w:cs="Calibri"/>
          <w:b w:val="0"/>
          <w:i w:val="0"/>
          <w:color w:val="000000"/>
          <w:sz w:val="21"/>
        </w:rPr>
        <w:t>Dataset images are small (median 726 px wide), so a TD3 glyph is only 6–10 px tall — near the OCR engine's floor. MRZ crops are upscaled with smooth fractional LANCZOS resampling to roughly 2600 px on the long side, and upright bottom-band crops were added to a region set that was previously rotation-only.</w:t>
      </w:r>
    </w:p>
    <w:p>
      <w:pPr>
        <w:spacing w:before="200" w:after="80" w:line="276" w:lineRule="auto"/>
      </w:pPr>
      <w:r>
        <w:rPr>
          <w:rFonts w:ascii="Calibri" w:hAnsi="Calibri" w:cs="Calibri"/>
          <w:b/>
          <w:i w:val="0"/>
          <w:color w:val="000000"/>
          <w:sz w:val="23"/>
        </w:rPr>
        <w:t>6.3  Conditional illumination normalization</w:t>
      </w:r>
    </w:p>
    <w:p>
      <w:pPr>
        <w:spacing w:before="0" w:after="120" w:line="276" w:lineRule="auto"/>
        <w:jc w:val="both"/>
      </w:pPr>
      <w:r>
        <w:rPr>
          <w:rFonts w:ascii="Calibri" w:hAnsi="Calibri" w:cs="Calibri"/>
          <w:b w:val="0"/>
          <w:i w:val="0"/>
          <w:color w:val="000000"/>
          <w:sz w:val="21"/>
        </w:rPr>
        <w:t>Dark or washed-out captures are normalized (CLAHE plus a gamma pull toward mid-tone) before OCR. Normalization is conditional: well-exposed images stay on the original path, after unconditional CLAHE was observed to over-sharpen already-crisp glyphs and induce errors. Enhancement must be gated to the regime it helps.</w:t>
      </w:r>
    </w:p>
    <w:p>
      <w:pPr>
        <w:spacing w:before="200" w:after="80" w:line="276" w:lineRule="auto"/>
      </w:pPr>
      <w:r>
        <w:rPr>
          <w:rFonts w:ascii="Calibri" w:hAnsi="Calibri" w:cs="Calibri"/>
          <w:b/>
          <w:i w:val="0"/>
          <w:color w:val="000000"/>
          <w:sz w:val="23"/>
        </w:rPr>
        <w:t>6.4  Line-1 re-alignment and filler-letter stripping</w:t>
      </w:r>
    </w:p>
    <w:p>
      <w:pPr>
        <w:spacing w:before="0" w:after="120" w:line="276" w:lineRule="auto"/>
        <w:jc w:val="both"/>
      </w:pPr>
      <w:r>
        <w:rPr>
          <w:rFonts w:ascii="Calibri" w:hAnsi="Calibri" w:cs="Calibri"/>
          <w:b w:val="0"/>
          <w:i w:val="0"/>
          <w:color w:val="000000"/>
          <w:sz w:val="21"/>
        </w:rPr>
        <w:t>Because line 1 carries no check digit, OCR noise there is uncorrected. A doubled leading type character, which shifts the country code and every name character one place to the right, is detected and realigned; and where the deep-filler tail is dominated by one letter, a single trailing instance that bled onto a name token is stripped.</w:t>
      </w:r>
    </w:p>
    <w:p>
      <w:pPr>
        <w:spacing w:before="200" w:after="80" w:line="276" w:lineRule="auto"/>
      </w:pPr>
      <w:r>
        <w:rPr>
          <w:rFonts w:ascii="Calibri" w:hAnsi="Calibri" w:cs="Calibri"/>
          <w:b/>
          <w:i w:val="0"/>
          <w:color w:val="000000"/>
          <w:sz w:val="23"/>
        </w:rPr>
        <w:t>6.5  Nationality cross-fill</w:t>
      </w:r>
    </w:p>
    <w:p>
      <w:pPr>
        <w:spacing w:before="0" w:after="120" w:line="276" w:lineRule="auto"/>
        <w:jc w:val="both"/>
      </w:pPr>
      <w:r>
        <w:rPr>
          <w:rFonts w:ascii="Calibri" w:hAnsi="Calibri" w:cs="Calibri"/>
          <w:b w:val="0"/>
          <w:i w:val="0"/>
          <w:color w:val="000000"/>
          <w:sz w:val="21"/>
        </w:rPr>
        <w:t>The nationality field on line 2 and the issuing country on line 1 are the same ICAO three-letter code. When OCR mangles the line-2 value into non-letters but the line-1 issuer is clean, the issuer is used.</w:t>
      </w:r>
    </w:p>
    <w:p>
      <w:pPr>
        <w:spacing w:before="200" w:after="80" w:line="276" w:lineRule="auto"/>
      </w:pPr>
      <w:r>
        <w:rPr>
          <w:rFonts w:ascii="Calibri" w:hAnsi="Calibri" w:cs="Calibri"/>
          <w:b/>
          <w:i w:val="0"/>
          <w:color w:val="000000"/>
          <w:sz w:val="23"/>
        </w:rPr>
        <w:t>6.6  Mirrored-document detection</w:t>
      </w:r>
    </w:p>
    <w:p>
      <w:pPr>
        <w:spacing w:before="0" w:after="120" w:line="276" w:lineRule="auto"/>
        <w:jc w:val="both"/>
      </w:pPr>
      <w:r>
        <w:rPr>
          <w:rFonts w:ascii="Calibri" w:hAnsi="Calibri" w:cs="Calibri"/>
          <w:b w:val="0"/>
          <w:i w:val="0"/>
          <w:color w:val="000000"/>
          <w:sz w:val="21"/>
        </w:rPr>
        <w:t>Front (selfie) cameras horizontally flip the frame, so a held document reads backwards and never parses. On the failure path only, the reader re-reads a horizontally-flipped copy; if the flip yields a valid MRZ, or produces markedly more MRZ filler characters than the original, the document was mirrored and a specific retake signal is emitted instead of a generic “MRZ not read”.</w:t>
      </w:r>
    </w:p>
    <w:p>
      <w:pPr>
        <w:spacing w:before="200" w:after="80" w:line="276" w:lineRule="auto"/>
      </w:pPr>
      <w:r>
        <w:rPr>
          <w:rFonts w:ascii="Calibri" w:hAnsi="Calibri" w:cs="Calibri"/>
          <w:b/>
          <w:i w:val="0"/>
          <w:color w:val="000000"/>
          <w:sz w:val="23"/>
        </w:rPr>
        <w:t>6.7  Lighting robustness for selfies</w:t>
      </w:r>
    </w:p>
    <w:p>
      <w:pPr>
        <w:spacing w:before="0" w:after="120" w:line="276" w:lineRule="auto"/>
        <w:jc w:val="both"/>
      </w:pPr>
      <w:r>
        <w:rPr>
          <w:rFonts w:ascii="Calibri" w:hAnsi="Calibri" w:cs="Calibri"/>
          <w:b w:val="0"/>
          <w:i w:val="0"/>
          <w:color w:val="000000"/>
          <w:sz w:val="21"/>
        </w:rPr>
        <w:t>Brightness, contrast, and glare are metered on the detected face crop rather than the whole frame, so a bright background behind a dark, back-lit face is correctly diagnosed. When face detection fails or the frame is under-exposed, detection and embedding are retried on an illumination-normalized copy; normalization is geometry-preserving, so the face box stays valid for PAD, which remains on the original image to avoid disturbing spoof cues.</w:t>
      </w:r>
    </w:p>
    <w:p>
      <w:pPr>
        <w:spacing w:before="280" w:after="80" w:line="276" w:lineRule="auto"/>
        <w:pBdr>
          <w:bottom w:val="single" w:sz="6" w:space="3" w:color="000000"/>
        </w:pBdr>
      </w:pPr>
      <w:r>
        <w:rPr>
          <w:rFonts w:ascii="Calibri" w:hAnsi="Calibri" w:cs="Calibri"/>
          <w:b/>
          <w:i w:val="0"/>
          <w:color w:val="000000"/>
          <w:sz w:val="28"/>
        </w:rPr>
        <w:t>7.  Evaluation</w:t>
      </w:r>
    </w:p>
    <w:p>
      <w:pPr>
        <w:spacing w:before="200" w:after="80" w:line="276" w:lineRule="auto"/>
      </w:pPr>
      <w:r>
        <w:rPr>
          <w:rFonts w:ascii="Calibri" w:hAnsi="Calibri" w:cs="Calibri"/>
          <w:b/>
          <w:i w:val="0"/>
          <w:color w:val="000000"/>
          <w:sz w:val="23"/>
        </w:rPr>
        <w:t>7.1  Datasets</w:t>
      </w:r>
    </w:p>
    <w:p>
      <w:pPr>
        <w:spacing w:before="0" w:after="120" w:line="276" w:lineRule="auto"/>
        <w:jc w:val="both"/>
      </w:pPr>
      <w:r>
        <w:rPr>
          <w:rFonts w:ascii="Calibri" w:hAnsi="Calibri" w:cs="Calibri"/>
          <w:b w:val="0"/>
          <w:i w:val="0"/>
          <w:color w:val="000000"/>
          <w:sz w:val="21"/>
        </w:rPr>
        <w:t>Evaluation uses the project's labelled sets: a passport corpus of 864 image/ground-truth pairs (820 passports and 44 face-only or non-passport images), selfie passive-liveness and face-login sets, an active-liveness attack set, and print-copy document attacks. Passport ground truth is taken from the MRZ lines, which are canonical and unambiguous, rather than the noisier printed fields.</w:t>
      </w:r>
    </w:p>
    <w:p>
      <w:pPr>
        <w:spacing w:before="200" w:after="80" w:line="276" w:lineRule="auto"/>
      </w:pPr>
      <w:r>
        <w:rPr>
          <w:rFonts w:ascii="Calibri" w:hAnsi="Calibri" w:cs="Calibri"/>
          <w:b/>
          <w:i w:val="0"/>
          <w:color w:val="000000"/>
          <w:sz w:val="23"/>
        </w:rPr>
        <w:t>7.2  Passport MRZ / OCR read rate</w:t>
      </w:r>
    </w:p>
    <w:p>
      <w:pPr>
        <w:spacing w:before="0" w:after="60" w:line="276" w:lineRule="auto"/>
      </w:pPr>
      <w:r>
        <w:rPr>
          <w:rFonts w:ascii="Calibri" w:hAnsi="Calibri" w:cs="Calibri"/>
          <w:b w:val="0"/>
          <w:i/>
          <w:color w:val="595959"/>
          <w:sz w:val="18"/>
        </w:rPr>
        <w:t>Table 1. 150-image passport sample, all Section 6 document fixes versus the pre-fix baseline (pp = percentage 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E6E6E6"/>
          </w:tcPr>
          <w:p>
            <w:pPr>
              <w:spacing w:before="60" w:after="60"/>
            </w:pPr>
            <w:r/>
            <w:r>
              <w:rPr>
                <w:rFonts w:ascii="Calibri" w:hAnsi="Calibri" w:cs="Calibri"/>
                <w:b/>
                <w:i w:val="0"/>
                <w:color w:val="000000"/>
                <w:sz w:val="19"/>
              </w:rPr>
              <w:t>Metric</w:t>
            </w:r>
          </w:p>
        </w:tc>
        <w:tc>
          <w:tcPr>
            <w:tcW w:type="dxa" w:w="1872"/>
            <w:shd w:val="clear" w:color="auto" w:fill="E6E6E6"/>
          </w:tcPr>
          <w:p>
            <w:pPr>
              <w:spacing w:before="60" w:after="60"/>
            </w:pPr>
            <w:r/>
            <w:r>
              <w:rPr>
                <w:rFonts w:ascii="Calibri" w:hAnsi="Calibri" w:cs="Calibri"/>
                <w:b/>
                <w:i w:val="0"/>
                <w:color w:val="000000"/>
                <w:sz w:val="19"/>
              </w:rPr>
              <w:t>Baseline</w:t>
            </w:r>
          </w:p>
        </w:tc>
        <w:tc>
          <w:tcPr>
            <w:tcW w:type="dxa" w:w="1872"/>
            <w:shd w:val="clear" w:color="auto" w:fill="E6E6E6"/>
          </w:tcPr>
          <w:p>
            <w:pPr>
              <w:spacing w:before="60" w:after="60"/>
            </w:pPr>
            <w:r/>
            <w:r>
              <w:rPr>
                <w:rFonts w:ascii="Calibri" w:hAnsi="Calibri" w:cs="Calibri"/>
                <w:b/>
                <w:i w:val="0"/>
                <w:color w:val="000000"/>
                <w:sz w:val="19"/>
              </w:rPr>
              <w:t>With fixes</w:t>
            </w:r>
          </w:p>
        </w:tc>
        <w:tc>
          <w:tcPr>
            <w:tcW w:type="dxa" w:w="1872"/>
            <w:shd w:val="clear" w:color="auto" w:fill="E6E6E6"/>
          </w:tcPr>
          <w:p>
            <w:pPr>
              <w:spacing w:before="60" w:after="60"/>
            </w:pPr>
            <w:r/>
            <w:r>
              <w:rPr>
                <w:rFonts w:ascii="Calibri" w:hAnsi="Calibri" w:cs="Calibri"/>
                <w:b/>
                <w:i w:val="0"/>
                <w:color w:val="000000"/>
                <w:sz w:val="19"/>
              </w:rPr>
              <w:t>Change</w:t>
            </w:r>
          </w:p>
        </w:tc>
      </w:tr>
      <w:tr>
        <w:tc>
          <w:tcPr>
            <w:tcW w:type="dxa" w:w="3744"/>
          </w:tcPr>
          <w:p>
            <w:pPr>
              <w:spacing w:before="60" w:after="60"/>
            </w:pPr>
            <w:r/>
            <w:r>
              <w:rPr>
                <w:rFonts w:ascii="Calibri" w:hAnsi="Calibri" w:cs="Calibri"/>
                <w:b w:val="0"/>
                <w:i w:val="0"/>
                <w:color w:val="000000"/>
                <w:sz w:val="19"/>
              </w:rPr>
              <w:t>MRZ detected (readable)</w:t>
            </w:r>
          </w:p>
        </w:tc>
        <w:tc>
          <w:tcPr>
            <w:tcW w:type="dxa" w:w="1872"/>
          </w:tcPr>
          <w:p>
            <w:pPr>
              <w:spacing w:before="60" w:after="60"/>
              <w:jc w:val="right"/>
            </w:pPr>
            <w:r/>
            <w:r>
              <w:rPr>
                <w:rFonts w:ascii="Calibri" w:hAnsi="Calibri" w:cs="Calibri"/>
                <w:b w:val="0"/>
                <w:i w:val="0"/>
                <w:color w:val="000000"/>
                <w:sz w:val="19"/>
              </w:rPr>
              <w:t>52.9%</w:t>
            </w:r>
          </w:p>
        </w:tc>
        <w:tc>
          <w:tcPr>
            <w:tcW w:type="dxa" w:w="1872"/>
          </w:tcPr>
          <w:p>
            <w:pPr>
              <w:spacing w:before="60" w:after="60"/>
              <w:jc w:val="right"/>
            </w:pPr>
            <w:r/>
            <w:r>
              <w:rPr>
                <w:rFonts w:ascii="Calibri" w:hAnsi="Calibri" w:cs="Calibri"/>
                <w:b w:val="0"/>
                <w:i w:val="0"/>
                <w:color w:val="000000"/>
                <w:sz w:val="19"/>
              </w:rPr>
              <w:t>67.3%</w:t>
            </w:r>
          </w:p>
        </w:tc>
        <w:tc>
          <w:tcPr>
            <w:tcW w:type="dxa" w:w="1872"/>
          </w:tcPr>
          <w:p>
            <w:pPr>
              <w:spacing w:before="60" w:after="60"/>
            </w:pPr>
            <w:r/>
            <w:r>
              <w:rPr>
                <w:rFonts w:ascii="Calibri" w:hAnsi="Calibri" w:cs="Calibri"/>
                <w:b w:val="0"/>
                <w:i w:val="0"/>
                <w:color w:val="000000"/>
                <w:sz w:val="19"/>
              </w:rPr>
              <w:t>+14.4 pp</w:t>
            </w:r>
          </w:p>
        </w:tc>
      </w:tr>
      <w:tr>
        <w:tc>
          <w:tcPr>
            <w:tcW w:type="dxa" w:w="3744"/>
          </w:tcPr>
          <w:p>
            <w:pPr>
              <w:spacing w:before="60" w:after="60"/>
            </w:pPr>
            <w:r/>
            <w:r>
              <w:rPr>
                <w:rFonts w:ascii="Calibri" w:hAnsi="Calibri" w:cs="Calibri"/>
                <w:b w:val="0"/>
                <w:i w:val="0"/>
                <w:color w:val="000000"/>
                <w:sz w:val="19"/>
              </w:rPr>
              <w:t>MRZ fully valid (all check digits)</w:t>
            </w:r>
          </w:p>
        </w:tc>
        <w:tc>
          <w:tcPr>
            <w:tcW w:type="dxa" w:w="1872"/>
          </w:tcPr>
          <w:p>
            <w:pPr>
              <w:spacing w:before="60" w:after="60"/>
              <w:jc w:val="right"/>
            </w:pPr>
            <w:r/>
            <w:r>
              <w:rPr>
                <w:rFonts w:ascii="Calibri" w:hAnsi="Calibri" w:cs="Calibri"/>
                <w:b w:val="0"/>
                <w:i w:val="0"/>
                <w:color w:val="000000"/>
                <w:sz w:val="19"/>
              </w:rPr>
              <w:t>35.1%</w:t>
            </w:r>
          </w:p>
        </w:tc>
        <w:tc>
          <w:tcPr>
            <w:tcW w:type="dxa" w:w="1872"/>
          </w:tcPr>
          <w:p>
            <w:pPr>
              <w:spacing w:before="60" w:after="60"/>
              <w:jc w:val="right"/>
            </w:pPr>
            <w:r/>
            <w:r>
              <w:rPr>
                <w:rFonts w:ascii="Calibri" w:hAnsi="Calibri" w:cs="Calibri"/>
                <w:b w:val="0"/>
                <w:i w:val="0"/>
                <w:color w:val="000000"/>
                <w:sz w:val="19"/>
              </w:rPr>
              <w:t>46.0%</w:t>
            </w:r>
          </w:p>
        </w:tc>
        <w:tc>
          <w:tcPr>
            <w:tcW w:type="dxa" w:w="1872"/>
          </w:tcPr>
          <w:p>
            <w:pPr>
              <w:spacing w:before="60" w:after="60"/>
            </w:pPr>
            <w:r/>
            <w:r>
              <w:rPr>
                <w:rFonts w:ascii="Calibri" w:hAnsi="Calibri" w:cs="Calibri"/>
                <w:b w:val="0"/>
                <w:i w:val="0"/>
                <w:color w:val="000000"/>
                <w:sz w:val="19"/>
              </w:rPr>
              <w:t>+10.9 pp</w:t>
            </w:r>
          </w:p>
        </w:tc>
      </w:tr>
      <w:tr>
        <w:tc>
          <w:tcPr>
            <w:tcW w:type="dxa" w:w="3744"/>
          </w:tcPr>
          <w:p>
            <w:pPr>
              <w:spacing w:before="60" w:after="60"/>
            </w:pPr>
            <w:r/>
            <w:r>
              <w:rPr>
                <w:rFonts w:ascii="Calibri" w:hAnsi="Calibri" w:cs="Calibri"/>
                <w:b w:val="0"/>
                <w:i w:val="0"/>
                <w:color w:val="000000"/>
                <w:sz w:val="19"/>
              </w:rPr>
              <w:t>Passport number</w:t>
            </w:r>
          </w:p>
        </w:tc>
        <w:tc>
          <w:tcPr>
            <w:tcW w:type="dxa" w:w="1872"/>
          </w:tcPr>
          <w:p>
            <w:pPr>
              <w:spacing w:before="60" w:after="60"/>
              <w:jc w:val="right"/>
            </w:pPr>
            <w:r/>
            <w:r>
              <w:rPr>
                <w:rFonts w:ascii="Calibri" w:hAnsi="Calibri" w:cs="Calibri"/>
                <w:b w:val="0"/>
                <w:i w:val="0"/>
                <w:color w:val="000000"/>
                <w:sz w:val="19"/>
              </w:rPr>
              <w:t>34.9%</w:t>
            </w:r>
          </w:p>
        </w:tc>
        <w:tc>
          <w:tcPr>
            <w:tcW w:type="dxa" w:w="1872"/>
          </w:tcPr>
          <w:p>
            <w:pPr>
              <w:spacing w:before="60" w:after="60"/>
              <w:jc w:val="right"/>
            </w:pPr>
            <w:r/>
            <w:r>
              <w:rPr>
                <w:rFonts w:ascii="Calibri" w:hAnsi="Calibri" w:cs="Calibri"/>
                <w:b w:val="0"/>
                <w:i w:val="0"/>
                <w:color w:val="000000"/>
                <w:sz w:val="19"/>
              </w:rPr>
              <w:t>46.7%</w:t>
            </w:r>
          </w:p>
        </w:tc>
        <w:tc>
          <w:tcPr>
            <w:tcW w:type="dxa" w:w="1872"/>
          </w:tcPr>
          <w:p>
            <w:pPr>
              <w:spacing w:before="60" w:after="60"/>
            </w:pPr>
            <w:r/>
            <w:r>
              <w:rPr>
                <w:rFonts w:ascii="Calibri" w:hAnsi="Calibri" w:cs="Calibri"/>
                <w:b w:val="0"/>
                <w:i w:val="0"/>
                <w:color w:val="000000"/>
                <w:sz w:val="19"/>
              </w:rPr>
              <w:t>+11.8 pp</w:t>
            </w:r>
          </w:p>
        </w:tc>
      </w:tr>
      <w:tr>
        <w:tc>
          <w:tcPr>
            <w:tcW w:type="dxa" w:w="3744"/>
          </w:tcPr>
          <w:p>
            <w:pPr>
              <w:spacing w:before="60" w:after="60"/>
            </w:pPr>
            <w:r/>
            <w:r>
              <w:rPr>
                <w:rFonts w:ascii="Calibri" w:hAnsi="Calibri" w:cs="Calibri"/>
                <w:b w:val="0"/>
                <w:i w:val="0"/>
                <w:color w:val="000000"/>
                <w:sz w:val="19"/>
              </w:rPr>
              <w:t>Date of birth</w:t>
            </w:r>
          </w:p>
        </w:tc>
        <w:tc>
          <w:tcPr>
            <w:tcW w:type="dxa" w:w="1872"/>
          </w:tcPr>
          <w:p>
            <w:pPr>
              <w:spacing w:before="60" w:after="60"/>
              <w:jc w:val="right"/>
            </w:pPr>
            <w:r/>
            <w:r>
              <w:rPr>
                <w:rFonts w:ascii="Calibri" w:hAnsi="Calibri" w:cs="Calibri"/>
                <w:b w:val="0"/>
                <w:i w:val="0"/>
                <w:color w:val="000000"/>
                <w:sz w:val="19"/>
              </w:rPr>
              <w:t>42.7%</w:t>
            </w:r>
          </w:p>
        </w:tc>
        <w:tc>
          <w:tcPr>
            <w:tcW w:type="dxa" w:w="1872"/>
          </w:tcPr>
          <w:p>
            <w:pPr>
              <w:spacing w:before="60" w:after="60"/>
              <w:jc w:val="right"/>
            </w:pPr>
            <w:r/>
            <w:r>
              <w:rPr>
                <w:rFonts w:ascii="Calibri" w:hAnsi="Calibri" w:cs="Calibri"/>
                <w:b w:val="0"/>
                <w:i w:val="0"/>
                <w:color w:val="000000"/>
                <w:sz w:val="19"/>
              </w:rPr>
              <w:t>57.3%</w:t>
            </w:r>
          </w:p>
        </w:tc>
        <w:tc>
          <w:tcPr>
            <w:tcW w:type="dxa" w:w="1872"/>
          </w:tcPr>
          <w:p>
            <w:pPr>
              <w:spacing w:before="60" w:after="60"/>
            </w:pPr>
            <w:r/>
            <w:r>
              <w:rPr>
                <w:rFonts w:ascii="Calibri" w:hAnsi="Calibri" w:cs="Calibri"/>
                <w:b w:val="0"/>
                <w:i w:val="0"/>
                <w:color w:val="000000"/>
                <w:sz w:val="19"/>
              </w:rPr>
              <w:t>+14.6 pp</w:t>
            </w:r>
          </w:p>
        </w:tc>
      </w:tr>
      <w:tr>
        <w:tc>
          <w:tcPr>
            <w:tcW w:type="dxa" w:w="3744"/>
          </w:tcPr>
          <w:p>
            <w:pPr>
              <w:spacing w:before="60" w:after="60"/>
            </w:pPr>
            <w:r/>
            <w:r>
              <w:rPr>
                <w:rFonts w:ascii="Calibri" w:hAnsi="Calibri" w:cs="Calibri"/>
                <w:b w:val="0"/>
                <w:i w:val="0"/>
                <w:color w:val="000000"/>
                <w:sz w:val="19"/>
              </w:rPr>
              <w:t>Expiry date</w:t>
            </w:r>
          </w:p>
        </w:tc>
        <w:tc>
          <w:tcPr>
            <w:tcW w:type="dxa" w:w="1872"/>
          </w:tcPr>
          <w:p>
            <w:pPr>
              <w:spacing w:before="60" w:after="60"/>
              <w:jc w:val="right"/>
            </w:pPr>
            <w:r/>
            <w:r>
              <w:rPr>
                <w:rFonts w:ascii="Calibri" w:hAnsi="Calibri" w:cs="Calibri"/>
                <w:b w:val="0"/>
                <w:i w:val="0"/>
                <w:color w:val="000000"/>
                <w:sz w:val="19"/>
              </w:rPr>
              <w:t>43.8%</w:t>
            </w:r>
          </w:p>
        </w:tc>
        <w:tc>
          <w:tcPr>
            <w:tcW w:type="dxa" w:w="1872"/>
          </w:tcPr>
          <w:p>
            <w:pPr>
              <w:spacing w:before="60" w:after="60"/>
              <w:jc w:val="right"/>
            </w:pPr>
            <w:r/>
            <w:r>
              <w:rPr>
                <w:rFonts w:ascii="Calibri" w:hAnsi="Calibri" w:cs="Calibri"/>
                <w:b w:val="0"/>
                <w:i w:val="0"/>
                <w:color w:val="000000"/>
                <w:sz w:val="19"/>
              </w:rPr>
              <w:t>59.1%</w:t>
            </w:r>
          </w:p>
        </w:tc>
        <w:tc>
          <w:tcPr>
            <w:tcW w:type="dxa" w:w="1872"/>
          </w:tcPr>
          <w:p>
            <w:pPr>
              <w:spacing w:before="60" w:after="60"/>
            </w:pPr>
            <w:r/>
            <w:r>
              <w:rPr>
                <w:rFonts w:ascii="Calibri" w:hAnsi="Calibri" w:cs="Calibri"/>
                <w:b w:val="0"/>
                <w:i w:val="0"/>
                <w:color w:val="000000"/>
                <w:sz w:val="19"/>
              </w:rPr>
              <w:t>+15.3 pp</w:t>
            </w:r>
          </w:p>
        </w:tc>
      </w:tr>
    </w:tbl>
    <w:p>
      <w:pPr>
        <w:spacing w:before="0" w:after="120" w:line="276" w:lineRule="auto"/>
      </w:pPr>
    </w:p>
    <w:p>
      <w:pPr>
        <w:spacing w:before="0" w:after="120" w:line="276" w:lineRule="auto"/>
        <w:jc w:val="both"/>
      </w:pPr>
      <w:r>
        <w:rPr>
          <w:rFonts w:ascii="Calibri" w:hAnsi="Calibri" w:cs="Calibri"/>
          <w:b w:val="0"/>
          <w:i w:val="0"/>
          <w:color w:val="000000"/>
          <w:sz w:val="21"/>
        </w:rPr>
        <w:t>Conditional accuracy — given a fully-valid MRZ — confirms the parser is sound and that the ceiling is OCR legibility rather than logic: date of birth 100%, sex 100%, expiry 99%, passport number 93%, and nationality 83–91%. Face-only and non-passport images are correctly not read as passports 85–88% of the time, and mirrored documents are rejected with a specific reason code. Remaining non-reads are dominated by capture geometry — hand-held photos at arbitrary angles and glare — which super-resolution cannot recover.</w:t>
      </w:r>
    </w:p>
    <w:p>
      <w:pPr>
        <w:spacing w:before="200" w:after="80" w:line="276" w:lineRule="auto"/>
      </w:pPr>
      <w:r>
        <w:rPr>
          <w:rFonts w:ascii="Calibri" w:hAnsi="Calibri" w:cs="Calibri"/>
          <w:b/>
          <w:i w:val="0"/>
          <w:color w:val="000000"/>
          <w:sz w:val="23"/>
        </w:rPr>
        <w:t>7.3  Selfie presentation-attack detection</w:t>
      </w:r>
    </w:p>
    <w:p>
      <w:pPr>
        <w:spacing w:before="0" w:after="120" w:line="276" w:lineRule="auto"/>
        <w:jc w:val="both"/>
      </w:pPr>
      <w:r>
        <w:rPr>
          <w:rFonts w:ascii="Calibri" w:hAnsi="Calibri" w:cs="Calibri"/>
          <w:b w:val="0"/>
          <w:i w:val="0"/>
          <w:color w:val="000000"/>
          <w:sz w:val="21"/>
        </w:rPr>
        <w:t>Corroboration-based aggregation eliminated a systematic bona-fide failure: real faces wearing eyeglasses previously triggered a held-phone or screen false-reject at approximately 43%; after requiring recurrence plus model corroboration, this fell to 0% while screen and photo spoofs continued to be rejected at the prior rate in the tested sets. A back-light and over-exposure diagnosis converts a class of silent PAD false-rejects into actionable retake guidance.</w:t>
      </w:r>
    </w:p>
    <w:p>
      <w:pPr>
        <w:spacing w:before="200" w:after="80" w:line="276" w:lineRule="auto"/>
      </w:pPr>
      <w:r>
        <w:rPr>
          <w:rFonts w:ascii="Calibri" w:hAnsi="Calibri" w:cs="Calibri"/>
          <w:b/>
          <w:i w:val="0"/>
          <w:color w:val="000000"/>
          <w:sz w:val="23"/>
        </w:rPr>
        <w:t>7.4  Active-liveness anti-spoof gate</w:t>
      </w:r>
    </w:p>
    <w:p>
      <w:pPr>
        <w:spacing w:before="0" w:after="120" w:line="276" w:lineRule="auto"/>
        <w:jc w:val="both"/>
      </w:pPr>
      <w:r>
        <w:rPr>
          <w:rFonts w:ascii="Calibri" w:hAnsi="Calibri" w:cs="Calibri"/>
          <w:b w:val="0"/>
          <w:i w:val="0"/>
          <w:color w:val="000000"/>
          <w:sz w:val="21"/>
        </w:rPr>
        <w:t>On collected attacks, the server-side gate — small-face rejection plus a recurring PAD-model vote over three-frame bursts — rejected printed-photo attacks (120 images / 40 bursts) and phone-screen replay (50 images / 17 bursts) at 100%, with 0% false-accept.</w:t>
      </w:r>
    </w:p>
    <w:p>
      <w:pPr>
        <w:spacing w:before="200" w:after="80" w:line="276" w:lineRule="auto"/>
      </w:pPr>
      <w:r>
        <w:rPr>
          <w:rFonts w:ascii="Calibri" w:hAnsi="Calibri" w:cs="Calibri"/>
          <w:b/>
          <w:i w:val="0"/>
          <w:color w:val="000000"/>
          <w:sz w:val="23"/>
        </w:rPr>
        <w:t>7.5  Lighting robustness</w:t>
      </w:r>
    </w:p>
    <w:p>
      <w:pPr>
        <w:spacing w:before="0" w:after="60" w:line="276" w:lineRule="auto"/>
      </w:pPr>
      <w:r>
        <w:rPr>
          <w:rFonts w:ascii="Calibri" w:hAnsi="Calibri" w:cs="Calibri"/>
          <w:b w:val="0"/>
          <w:i/>
          <w:color w:val="595959"/>
          <w:sz w:val="18"/>
        </w:rPr>
        <w:t>Table 2. Face-detection success on 20 genuine selfies synthetically darkened to simulate a dim room.</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E6E6E6"/>
          </w:tcPr>
          <w:p>
            <w:pPr>
              <w:spacing w:before="60" w:after="60"/>
            </w:pPr>
            <w:r/>
            <w:r>
              <w:rPr>
                <w:rFonts w:ascii="Calibri" w:hAnsi="Calibri" w:cs="Calibri"/>
                <w:b/>
                <w:i w:val="0"/>
                <w:color w:val="000000"/>
                <w:sz w:val="19"/>
              </w:rPr>
              <w:t>Condition</w:t>
            </w:r>
          </w:p>
        </w:tc>
        <w:tc>
          <w:tcPr>
            <w:tcW w:type="dxa" w:w="2520"/>
            <w:shd w:val="clear" w:color="auto" w:fill="E6E6E6"/>
          </w:tcPr>
          <w:p>
            <w:pPr>
              <w:spacing w:before="60" w:after="60"/>
            </w:pPr>
            <w:r/>
            <w:r>
              <w:rPr>
                <w:rFonts w:ascii="Calibri" w:hAnsi="Calibri" w:cs="Calibri"/>
                <w:b/>
                <w:i w:val="0"/>
                <w:color w:val="000000"/>
                <w:sz w:val="19"/>
              </w:rPr>
              <w:t>Baseline</w:t>
            </w:r>
          </w:p>
        </w:tc>
        <w:tc>
          <w:tcPr>
            <w:tcW w:type="dxa" w:w="2520"/>
            <w:shd w:val="clear" w:color="auto" w:fill="E6E6E6"/>
          </w:tcPr>
          <w:p>
            <w:pPr>
              <w:spacing w:before="60" w:after="60"/>
            </w:pPr>
            <w:r/>
            <w:r>
              <w:rPr>
                <w:rFonts w:ascii="Calibri" w:hAnsi="Calibri" w:cs="Calibri"/>
                <w:b/>
                <w:i w:val="0"/>
                <w:color w:val="000000"/>
                <w:sz w:val="19"/>
              </w:rPr>
              <w:t>With fix</w:t>
            </w:r>
          </w:p>
        </w:tc>
      </w:tr>
      <w:tr>
        <w:tc>
          <w:tcPr>
            <w:tcW w:type="dxa" w:w="4320"/>
          </w:tcPr>
          <w:p>
            <w:pPr>
              <w:spacing w:before="60" w:after="60"/>
            </w:pPr>
            <w:r/>
            <w:r>
              <w:rPr>
                <w:rFonts w:ascii="Calibri" w:hAnsi="Calibri" w:cs="Calibri"/>
                <w:b w:val="0"/>
                <w:i w:val="0"/>
                <w:color w:val="000000"/>
                <w:sz w:val="19"/>
              </w:rPr>
              <w:t>Dim room (×0.18 brightness)</w:t>
            </w:r>
          </w:p>
        </w:tc>
        <w:tc>
          <w:tcPr>
            <w:tcW w:type="dxa" w:w="2520"/>
          </w:tcPr>
          <w:p>
            <w:pPr>
              <w:spacing w:before="60" w:after="60"/>
              <w:jc w:val="right"/>
            </w:pPr>
            <w:r/>
            <w:r>
              <w:rPr>
                <w:rFonts w:ascii="Calibri" w:hAnsi="Calibri" w:cs="Calibri"/>
                <w:b w:val="0"/>
                <w:i w:val="0"/>
                <w:color w:val="000000"/>
                <w:sz w:val="19"/>
              </w:rPr>
              <w:t>75%</w:t>
            </w:r>
          </w:p>
        </w:tc>
        <w:tc>
          <w:tcPr>
            <w:tcW w:type="dxa" w:w="2520"/>
          </w:tcPr>
          <w:p>
            <w:pPr>
              <w:spacing w:before="60" w:after="60"/>
              <w:jc w:val="right"/>
            </w:pPr>
            <w:r/>
            <w:r>
              <w:rPr>
                <w:rFonts w:ascii="Calibri" w:hAnsi="Calibri" w:cs="Calibri"/>
                <w:b w:val="0"/>
                <w:i w:val="0"/>
                <w:color w:val="000000"/>
                <w:sz w:val="19"/>
              </w:rPr>
              <w:t>100%</w:t>
            </w:r>
          </w:p>
        </w:tc>
      </w:tr>
      <w:tr>
        <w:tc>
          <w:tcPr>
            <w:tcW w:type="dxa" w:w="4320"/>
          </w:tcPr>
          <w:p>
            <w:pPr>
              <w:spacing w:before="60" w:after="60"/>
            </w:pPr>
            <w:r/>
            <w:r>
              <w:rPr>
                <w:rFonts w:ascii="Calibri" w:hAnsi="Calibri" w:cs="Calibri"/>
                <w:b w:val="0"/>
                <w:i w:val="0"/>
                <w:color w:val="000000"/>
                <w:sz w:val="19"/>
              </w:rPr>
              <w:t>Very dark (×0.12 brightness)</w:t>
            </w:r>
          </w:p>
        </w:tc>
        <w:tc>
          <w:tcPr>
            <w:tcW w:type="dxa" w:w="2520"/>
          </w:tcPr>
          <w:p>
            <w:pPr>
              <w:spacing w:before="60" w:after="60"/>
              <w:jc w:val="right"/>
            </w:pPr>
            <w:r/>
            <w:r>
              <w:rPr>
                <w:rFonts w:ascii="Calibri" w:hAnsi="Calibri" w:cs="Calibri"/>
                <w:b w:val="0"/>
                <w:i w:val="0"/>
                <w:color w:val="000000"/>
                <w:sz w:val="19"/>
              </w:rPr>
              <w:t>25%</w:t>
            </w:r>
          </w:p>
        </w:tc>
        <w:tc>
          <w:tcPr>
            <w:tcW w:type="dxa" w:w="2520"/>
          </w:tcPr>
          <w:p>
            <w:pPr>
              <w:spacing w:before="60" w:after="60"/>
              <w:jc w:val="right"/>
            </w:pPr>
            <w:r/>
            <w:r>
              <w:rPr>
                <w:rFonts w:ascii="Calibri" w:hAnsi="Calibri" w:cs="Calibri"/>
                <w:b w:val="0"/>
                <w:i w:val="0"/>
                <w:color w:val="000000"/>
                <w:sz w:val="19"/>
              </w:rPr>
              <w:t>95%</w:t>
            </w:r>
          </w:p>
        </w:tc>
      </w:tr>
    </w:tbl>
    <w:p>
      <w:pPr>
        <w:spacing w:before="0" w:after="120" w:line="276" w:lineRule="auto"/>
      </w:pPr>
    </w:p>
    <w:p>
      <w:pPr>
        <w:spacing w:before="0" w:after="120" w:line="276" w:lineRule="auto"/>
        <w:jc w:val="both"/>
      </w:pPr>
      <w:r>
        <w:rPr>
          <w:rFonts w:ascii="Calibri" w:hAnsi="Calibri" w:cs="Calibri"/>
          <w:b w:val="0"/>
          <w:i w:val="0"/>
          <w:color w:val="000000"/>
          <w:sz w:val="21"/>
        </w:rPr>
        <w:t>Well-lit images were unchanged (20 of 20 detected, embeddings untouched), so there is no regression on the common case — the rescue path activates only for images that were already failing.</w:t>
      </w:r>
    </w:p>
    <w:tbl>
      <w:tblPr>
        <w:tblStyle w:val="TableGrid"/>
        <w:tblW w:type="auto" w:w="0"/>
        <w:tblLook w:firstColumn="1" w:firstRow="1" w:lastColumn="0" w:lastRow="0" w:noHBand="0" w:noVBand="1" w:val="04A0"/>
      </w:tblPr>
      <w:tblGrid>
        <w:gridCol w:w="9360"/>
      </w:tblGrid>
      <w:tr>
        <w:tc>
          <w:tcPr>
            <w:tcW w:type="dxa" w:w="9360"/>
          </w:tcPr>
          <w:p>
            <w:pPr>
              <w:spacing w:before="80" w:after="80"/>
            </w:pPr>
            <w:r/>
            <w:r>
              <w:rPr>
                <w:rFonts w:ascii="Calibri" w:hAnsi="Calibri" w:cs="Calibri"/>
                <w:b/>
                <w:i w:val="0"/>
                <w:color w:val="000000"/>
                <w:sz w:val="20"/>
              </w:rPr>
              <w:t xml:space="preserve">On headline figures.  </w:t>
            </w:r>
            <w:r>
              <w:rPr>
                <w:rFonts w:ascii="Calibri" w:hAnsi="Calibri" w:cs="Calibri"/>
                <w:b w:val="0"/>
                <w:i/>
                <w:color w:val="000000"/>
                <w:sz w:val="20"/>
              </w:rPr>
              <w:t>Earlier collateral cites approximately 95.7% document and 96.4% liveness accuracy. These remain target/operating-point estimates pending a study of at least 10,000 samples per category and are not claimed as validated here. The figures in Section 7 are the directly measured results of this work.</w:t>
            </w:r>
          </w:p>
        </w:tc>
      </w:tr>
    </w:tbl>
    <w:p>
      <w:pPr>
        <w:spacing w:before="0" w:after="160" w:line="276" w:lineRule="auto"/>
      </w:pPr>
    </w:p>
    <w:p>
      <w:pPr>
        <w:spacing w:before="280" w:after="80" w:line="276" w:lineRule="auto"/>
        <w:pBdr>
          <w:bottom w:val="single" w:sz="6" w:space="3" w:color="000000"/>
        </w:pBdr>
      </w:pPr>
      <w:r>
        <w:rPr>
          <w:rFonts w:ascii="Calibri" w:hAnsi="Calibri" w:cs="Calibri"/>
          <w:b/>
          <w:i w:val="0"/>
          <w:color w:val="000000"/>
          <w:sz w:val="28"/>
        </w:rPr>
        <w:t>8.  NIST IAL2 Alignment and Assurance</w:t>
      </w:r>
    </w:p>
    <w:p>
      <w:pPr>
        <w:spacing w:before="0" w:after="60" w:line="276" w:lineRule="auto"/>
      </w:pPr>
      <w:r>
        <w:rPr>
          <w:rFonts w:ascii="Calibri" w:hAnsi="Calibri" w:cs="Calibri"/>
          <w:b w:val="0"/>
          <w:i/>
          <w:color w:val="595959"/>
          <w:sz w:val="18"/>
        </w:rPr>
        <w:t>Table 3. IAL2 obligations mapped to Kyron mechanisms and prototype status.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E6E6E6"/>
          </w:tcPr>
          <w:p>
            <w:pPr>
              <w:spacing w:before="60" w:after="60"/>
            </w:pPr>
            <w:r/>
            <w:r>
              <w:rPr>
                <w:rFonts w:ascii="Calibri" w:hAnsi="Calibri" w:cs="Calibri"/>
                <w:b/>
                <w:i w:val="0"/>
                <w:color w:val="000000"/>
                <w:sz w:val="19"/>
              </w:rPr>
              <w:t>IAL2 obligation</w:t>
            </w:r>
          </w:p>
        </w:tc>
        <w:tc>
          <w:tcPr>
            <w:tcW w:type="dxa" w:w="3888"/>
            <w:shd w:val="clear" w:color="auto" w:fill="E6E6E6"/>
          </w:tcPr>
          <w:p>
            <w:pPr>
              <w:spacing w:before="60" w:after="60"/>
            </w:pPr>
            <w:r/>
            <w:r>
              <w:rPr>
                <w:rFonts w:ascii="Calibri" w:hAnsi="Calibri" w:cs="Calibri"/>
                <w:b/>
                <w:i w:val="0"/>
                <w:color w:val="000000"/>
                <w:sz w:val="19"/>
              </w:rPr>
              <w:t>Kyron mechanism</w:t>
            </w:r>
          </w:p>
        </w:tc>
        <w:tc>
          <w:tcPr>
            <w:tcW w:type="dxa" w:w="2736"/>
            <w:shd w:val="clear" w:color="auto" w:fill="E6E6E6"/>
          </w:tcPr>
          <w:p>
            <w:pPr>
              <w:spacing w:before="60" w:after="60"/>
            </w:pPr>
            <w:r/>
            <w:r>
              <w:rPr>
                <w:rFonts w:ascii="Calibri" w:hAnsi="Calibri" w:cs="Calibri"/>
                <w:b/>
                <w:i w:val="0"/>
                <w:color w:val="000000"/>
                <w:sz w:val="19"/>
              </w:rPr>
              <w:t>Status</w:t>
            </w:r>
          </w:p>
        </w:tc>
      </w:tr>
      <w:tr>
        <w:tc>
          <w:tcPr>
            <w:tcW w:type="dxa" w:w="2736"/>
          </w:tcPr>
          <w:p>
            <w:pPr>
              <w:spacing w:before="60" w:after="60"/>
            </w:pPr>
            <w:r/>
            <w:r>
              <w:rPr>
                <w:rFonts w:ascii="Calibri" w:hAnsi="Calibri" w:cs="Calibri"/>
                <w:b w:val="0"/>
                <w:i w:val="0"/>
                <w:color w:val="000000"/>
                <w:sz w:val="19"/>
              </w:rPr>
              <w:t>Validate strong evidence</w:t>
            </w:r>
          </w:p>
        </w:tc>
        <w:tc>
          <w:tcPr>
            <w:tcW w:type="dxa" w:w="3888"/>
          </w:tcPr>
          <w:p>
            <w:pPr>
              <w:spacing w:before="60" w:after="60"/>
            </w:pPr>
            <w:r/>
            <w:r>
              <w:rPr>
                <w:rFonts w:ascii="Calibri" w:hAnsi="Calibri" w:cs="Calibri"/>
                <w:b w:val="0"/>
                <w:i w:val="0"/>
                <w:color w:val="000000"/>
                <w:sz w:val="19"/>
              </w:rPr>
              <w:t>TD3 MRZ with check digits; quality and forensics; fraud ensemble</w:t>
            </w:r>
          </w:p>
        </w:tc>
        <w:tc>
          <w:tcPr>
            <w:tcW w:type="dxa" w:w="2736"/>
          </w:tcPr>
          <w:p>
            <w:pPr>
              <w:spacing w:before="60" w:after="60"/>
            </w:pPr>
            <w:r/>
            <w:r>
              <w:rPr>
                <w:rFonts w:ascii="Calibri" w:hAnsi="Calibri" w:cs="Calibri"/>
                <w:b w:val="0"/>
                <w:i w:val="0"/>
                <w:color w:val="000000"/>
                <w:sz w:val="19"/>
              </w:rPr>
              <w:t>Demonstrated (prototype)</w:t>
            </w:r>
          </w:p>
        </w:tc>
      </w:tr>
      <w:tr>
        <w:tc>
          <w:tcPr>
            <w:tcW w:type="dxa" w:w="2736"/>
          </w:tcPr>
          <w:p>
            <w:pPr>
              <w:spacing w:before="60" w:after="60"/>
            </w:pPr>
            <w:r/>
            <w:r>
              <w:rPr>
                <w:rFonts w:ascii="Calibri" w:hAnsi="Calibri" w:cs="Calibri"/>
                <w:b w:val="0"/>
                <w:i w:val="0"/>
                <w:color w:val="000000"/>
                <w:sz w:val="19"/>
              </w:rPr>
              <w:t>Evidence belongs to applicant</w:t>
            </w:r>
          </w:p>
        </w:tc>
        <w:tc>
          <w:tcPr>
            <w:tcW w:type="dxa" w:w="3888"/>
          </w:tcPr>
          <w:p>
            <w:pPr>
              <w:spacing w:before="60" w:after="60"/>
            </w:pPr>
            <w:r/>
            <w:r>
              <w:rPr>
                <w:rFonts w:ascii="Calibri" w:hAnsi="Calibri" w:cs="Calibri"/>
                <w:b w:val="0"/>
                <w:i w:val="0"/>
                <w:color w:val="000000"/>
                <w:sz w:val="19"/>
              </w:rPr>
              <w:t>Face match (YuNet + SFace), selfie to document portrait</w:t>
            </w:r>
          </w:p>
        </w:tc>
        <w:tc>
          <w:tcPr>
            <w:tcW w:type="dxa" w:w="2736"/>
          </w:tcPr>
          <w:p>
            <w:pPr>
              <w:spacing w:before="60" w:after="60"/>
            </w:pPr>
            <w:r/>
            <w:r>
              <w:rPr>
                <w:rFonts w:ascii="Calibri" w:hAnsi="Calibri" w:cs="Calibri"/>
                <w:b w:val="0"/>
                <w:i w:val="0"/>
                <w:color w:val="000000"/>
                <w:sz w:val="19"/>
              </w:rPr>
              <w:t>Demonstrated</w:t>
            </w:r>
          </w:p>
        </w:tc>
      </w:tr>
      <w:tr>
        <w:tc>
          <w:tcPr>
            <w:tcW w:type="dxa" w:w="2736"/>
          </w:tcPr>
          <w:p>
            <w:pPr>
              <w:spacing w:before="60" w:after="60"/>
            </w:pPr>
            <w:r/>
            <w:r>
              <w:rPr>
                <w:rFonts w:ascii="Calibri" w:hAnsi="Calibri" w:cs="Calibri"/>
                <w:b w:val="0"/>
                <w:i w:val="0"/>
                <w:color w:val="000000"/>
                <w:sz w:val="19"/>
              </w:rPr>
              <w:t>Presence / anti-spoof</w:t>
            </w:r>
          </w:p>
        </w:tc>
        <w:tc>
          <w:tcPr>
            <w:tcW w:type="dxa" w:w="3888"/>
          </w:tcPr>
          <w:p>
            <w:pPr>
              <w:spacing w:before="60" w:after="60"/>
            </w:pPr>
            <w:r/>
            <w:r>
              <w:rPr>
                <w:rFonts w:ascii="Calibri" w:hAnsi="Calibri" w:cs="Calibri"/>
                <w:b w:val="0"/>
                <w:i w:val="0"/>
                <w:color w:val="000000"/>
                <w:sz w:val="19"/>
              </w:rPr>
              <w:t>Passive PAD burst, active challenge–response, backend evidence bursts</w:t>
            </w:r>
          </w:p>
        </w:tc>
        <w:tc>
          <w:tcPr>
            <w:tcW w:type="dxa" w:w="2736"/>
          </w:tcPr>
          <w:p>
            <w:pPr>
              <w:spacing w:before="60" w:after="60"/>
            </w:pPr>
            <w:r/>
            <w:r>
              <w:rPr>
                <w:rFonts w:ascii="Calibri" w:hAnsi="Calibri" w:cs="Calibri"/>
                <w:b w:val="0"/>
                <w:i w:val="0"/>
                <w:color w:val="000000"/>
                <w:sz w:val="19"/>
              </w:rPr>
              <w:t>Demonstrated; APCER/BPCER not yet certified</w:t>
            </w:r>
          </w:p>
        </w:tc>
      </w:tr>
      <w:tr>
        <w:tc>
          <w:tcPr>
            <w:tcW w:type="dxa" w:w="2736"/>
          </w:tcPr>
          <w:p>
            <w:pPr>
              <w:spacing w:before="60" w:after="60"/>
            </w:pPr>
            <w:r/>
            <w:r>
              <w:rPr>
                <w:rFonts w:ascii="Calibri" w:hAnsi="Calibri" w:cs="Calibri"/>
                <w:b w:val="0"/>
                <w:i w:val="0"/>
                <w:color w:val="000000"/>
                <w:sz w:val="19"/>
              </w:rPr>
              <w:t>Fraud / duplicate checks</w:t>
            </w:r>
          </w:p>
        </w:tc>
        <w:tc>
          <w:tcPr>
            <w:tcW w:type="dxa" w:w="3888"/>
          </w:tcPr>
          <w:p>
            <w:pPr>
              <w:spacing w:before="60" w:after="60"/>
            </w:pPr>
            <w:r/>
            <w:r>
              <w:rPr>
                <w:rFonts w:ascii="Calibri" w:hAnsi="Calibri" w:cs="Calibri"/>
                <w:b w:val="0"/>
                <w:i w:val="0"/>
                <w:color w:val="000000"/>
                <w:sz w:val="19"/>
              </w:rPr>
              <w:t>Portrait-substitution, recapture and tamper signals; one profile per document number</w:t>
            </w:r>
          </w:p>
        </w:tc>
        <w:tc>
          <w:tcPr>
            <w:tcW w:type="dxa" w:w="2736"/>
          </w:tcPr>
          <w:p>
            <w:pPr>
              <w:spacing w:before="60" w:after="60"/>
            </w:pPr>
            <w:r/>
            <w:r>
              <w:rPr>
                <w:rFonts w:ascii="Calibri" w:hAnsi="Calibri" w:cs="Calibri"/>
                <w:b w:val="0"/>
                <w:i w:val="0"/>
                <w:color w:val="000000"/>
                <w:sz w:val="19"/>
              </w:rPr>
              <w:t>Partial</w:t>
            </w:r>
          </w:p>
        </w:tc>
      </w:tr>
      <w:tr>
        <w:tc>
          <w:tcPr>
            <w:tcW w:type="dxa" w:w="2736"/>
          </w:tcPr>
          <w:p>
            <w:pPr>
              <w:spacing w:before="60" w:after="60"/>
            </w:pPr>
            <w:r/>
            <w:r>
              <w:rPr>
                <w:rFonts w:ascii="Calibri" w:hAnsi="Calibri" w:cs="Calibri"/>
                <w:b w:val="0"/>
                <w:i w:val="0"/>
                <w:color w:val="000000"/>
                <w:sz w:val="19"/>
              </w:rPr>
              <w:t>Explainability / redress</w:t>
            </w:r>
          </w:p>
        </w:tc>
        <w:tc>
          <w:tcPr>
            <w:tcW w:type="dxa" w:w="3888"/>
          </w:tcPr>
          <w:p>
            <w:pPr>
              <w:spacing w:before="60" w:after="60"/>
            </w:pPr>
            <w:r/>
            <w:r>
              <w:rPr>
                <w:rFonts w:ascii="Calibri" w:hAnsi="Calibri" w:cs="Calibri"/>
                <w:b w:val="0"/>
                <w:i w:val="0"/>
                <w:color w:val="000000"/>
                <w:sz w:val="19"/>
              </w:rPr>
              <w:t>Typed reason codes; admin audit view</w:t>
            </w:r>
          </w:p>
        </w:tc>
        <w:tc>
          <w:tcPr>
            <w:tcW w:type="dxa" w:w="2736"/>
          </w:tcPr>
          <w:p>
            <w:pPr>
              <w:spacing w:before="60" w:after="60"/>
            </w:pPr>
            <w:r/>
            <w:r>
              <w:rPr>
                <w:rFonts w:ascii="Calibri" w:hAnsi="Calibri" w:cs="Calibri"/>
                <w:b w:val="0"/>
                <w:i w:val="0"/>
                <w:color w:val="000000"/>
                <w:sz w:val="19"/>
              </w:rPr>
              <w:t>Prototype; manual review pending</w:t>
            </w:r>
          </w:p>
        </w:tc>
      </w:tr>
    </w:tbl>
    <w:p>
      <w:pPr>
        <w:spacing w:before="0" w:after="120" w:line="276" w:lineRule="auto"/>
      </w:pPr>
    </w:p>
    <w:p>
      <w:pPr>
        <w:spacing w:before="200" w:after="80" w:line="276" w:lineRule="auto"/>
      </w:pPr>
      <w:r>
        <w:rPr>
          <w:rFonts w:ascii="Calibri" w:hAnsi="Calibri" w:cs="Calibri"/>
          <w:b/>
          <w:i w:val="0"/>
          <w:color w:val="000000"/>
          <w:sz w:val="23"/>
        </w:rPr>
        <w:t>8.1  Privacy and data handling</w:t>
      </w:r>
    </w:p>
    <w:p>
      <w:pPr>
        <w:spacing w:before="0" w:after="120" w:line="276" w:lineRule="auto"/>
        <w:jc w:val="both"/>
      </w:pPr>
      <w:r>
        <w:rPr>
          <w:rFonts w:ascii="Calibri" w:hAnsi="Calibri" w:cs="Calibri"/>
          <w:b w:val="0"/>
          <w:i w:val="0"/>
          <w:color w:val="000000"/>
          <w:sz w:val="21"/>
        </w:rPr>
        <w:t>During verification, Kyron does not persist raw document or selfie images; it holds only transient face embeddings in session state. On a passed session it stores one face template plus a minimal verified profile (document number, name, nationality, birth date and age, and expiry). Session state is short-lived and client-bound by a per-session token to defeat identifier-only replay or hijack.</w:t>
      </w:r>
    </w:p>
    <w:p>
      <w:pPr>
        <w:spacing w:before="200" w:after="80" w:line="276" w:lineRule="auto"/>
      </w:pPr>
      <w:r>
        <w:rPr>
          <w:rFonts w:ascii="Calibri" w:hAnsi="Calibri" w:cs="Calibri"/>
          <w:b/>
          <w:i w:val="0"/>
          <w:color w:val="000000"/>
          <w:sz w:val="23"/>
        </w:rPr>
        <w:t>8.2  Remaining hardening for certification</w:t>
      </w:r>
    </w:p>
    <w:p>
      <w:pPr>
        <w:pStyle w:val="ListBullet"/>
        <w:spacing w:before="0" w:after="60" w:line="276" w:lineRule="auto"/>
      </w:pPr>
      <w:r>
        <w:rPr>
          <w:rFonts w:ascii="Calibri" w:hAnsi="Calibri" w:cs="Calibri"/>
          <w:b w:val="0"/>
          <w:i w:val="0"/>
          <w:color w:val="000000"/>
          <w:sz w:val="21"/>
        </w:rPr>
        <w:t>Encrypted, revocable biometric-template storage with key rotation.</w:t>
      </w:r>
    </w:p>
    <w:p>
      <w:pPr>
        <w:pStyle w:val="ListBullet"/>
        <w:spacing w:before="0" w:after="60" w:line="276" w:lineRule="auto"/>
      </w:pPr>
      <w:r>
        <w:rPr>
          <w:rFonts w:ascii="Calibri" w:hAnsi="Calibri" w:cs="Calibri"/>
          <w:b w:val="0"/>
          <w:i w:val="0"/>
          <w:color w:val="000000"/>
          <w:sz w:val="21"/>
        </w:rPr>
        <w:t>Explicit consent capture, retention limits, and deletion or export on request.</w:t>
      </w:r>
    </w:p>
    <w:p>
      <w:pPr>
        <w:pStyle w:val="ListBullet"/>
        <w:spacing w:before="0" w:after="60" w:line="276" w:lineRule="auto"/>
      </w:pPr>
      <w:r>
        <w:rPr>
          <w:rFonts w:ascii="Calibri" w:hAnsi="Calibri" w:cs="Calibri"/>
          <w:b w:val="0"/>
          <w:i w:val="0"/>
          <w:color w:val="000000"/>
          <w:sz w:val="21"/>
        </w:rPr>
        <w:t>Authenticated admin APIs and tamper-evident, exportable audit logging.</w:t>
      </w:r>
    </w:p>
    <w:p>
      <w:pPr>
        <w:pStyle w:val="ListBullet"/>
        <w:spacing w:before="0" w:after="60" w:line="276" w:lineRule="auto"/>
      </w:pPr>
      <w:r>
        <w:rPr>
          <w:rFonts w:ascii="Calibri" w:hAnsi="Calibri" w:cs="Calibri"/>
          <w:b w:val="0"/>
          <w:i w:val="0"/>
          <w:color w:val="000000"/>
          <w:sz w:val="21"/>
        </w:rPr>
        <w:t>Independent PAD validation against ISO/IEC 30107-3 with reported APCER and BPCER.</w:t>
      </w:r>
    </w:p>
    <w:p>
      <w:pPr>
        <w:pStyle w:val="ListBullet"/>
        <w:spacing w:before="0" w:after="60" w:line="276" w:lineRule="auto"/>
      </w:pPr>
      <w:r>
        <w:rPr>
          <w:rFonts w:ascii="Calibri" w:hAnsi="Calibri" w:cs="Calibri"/>
          <w:b w:val="0"/>
          <w:i w:val="0"/>
          <w:color w:val="000000"/>
          <w:sz w:val="21"/>
        </w:rPr>
        <w:t>Threshold calibration from large labelled sets, with fairness analysis.</w:t>
      </w:r>
    </w:p>
    <w:p>
      <w:pPr>
        <w:pStyle w:val="ListBullet"/>
        <w:spacing w:before="0" w:after="60" w:line="276" w:lineRule="auto"/>
      </w:pPr>
      <w:r>
        <w:rPr>
          <w:rFonts w:ascii="Calibri" w:hAnsi="Calibri" w:cs="Calibri"/>
          <w:b w:val="0"/>
          <w:i w:val="0"/>
          <w:color w:val="000000"/>
          <w:sz w:val="21"/>
        </w:rPr>
        <w:t>Manual review and redress workflow; multi-factor authentication for high-value actions.</w:t>
      </w:r>
    </w:p>
    <w:p>
      <w:pPr>
        <w:pStyle w:val="ListBullet"/>
        <w:spacing w:before="0" w:after="60" w:line="276" w:lineRule="auto"/>
      </w:pPr>
      <w:r>
        <w:rPr>
          <w:rFonts w:ascii="Calibri" w:hAnsi="Calibri" w:cs="Calibri"/>
          <w:b w:val="0"/>
          <w:i w:val="0"/>
          <w:color w:val="000000"/>
          <w:sz w:val="21"/>
        </w:rPr>
        <w:t>Third-party security and privacy assessment.</w:t>
      </w:r>
    </w:p>
    <w:p>
      <w:pPr>
        <w:spacing w:before="280" w:after="80" w:line="276" w:lineRule="auto"/>
        <w:pBdr>
          <w:bottom w:val="single" w:sz="6" w:space="3" w:color="000000"/>
        </w:pBdr>
      </w:pPr>
      <w:r>
        <w:rPr>
          <w:rFonts w:ascii="Calibri" w:hAnsi="Calibri" w:cs="Calibri"/>
          <w:b/>
          <w:i w:val="0"/>
          <w:color w:val="000000"/>
          <w:sz w:val="28"/>
        </w:rPr>
        <w:t>9.  Limitations and Threats to Validity</w:t>
      </w:r>
    </w:p>
    <w:p>
      <w:pPr>
        <w:pStyle w:val="ListBullet"/>
        <w:spacing w:before="0" w:after="60" w:line="276" w:lineRule="auto"/>
      </w:pPr>
      <w:r>
        <w:rPr>
          <w:rFonts w:ascii="Calibri" w:hAnsi="Calibri" w:cs="Calibri"/>
          <w:b/>
          <w:i w:val="0"/>
          <w:color w:val="000000"/>
          <w:sz w:val="21"/>
        </w:rPr>
        <w:t xml:space="preserve">Sample size and provenance. </w:t>
      </w:r>
      <w:r>
        <w:rPr>
          <w:rFonts w:ascii="Calibri" w:hAnsi="Calibri" w:cs="Calibri"/>
          <w:b w:val="0"/>
          <w:i w:val="0"/>
          <w:color w:val="000000"/>
          <w:sz w:val="21"/>
        </w:rPr>
        <w:t>Section 7 uses hundreds, not tens of thousands, of images, and some are synthetically perturbed; absolute rates will shift on larger, field-representative data.</w:t>
      </w:r>
    </w:p>
    <w:p>
      <w:pPr>
        <w:pStyle w:val="ListBullet"/>
        <w:spacing w:before="0" w:after="60" w:line="276" w:lineRule="auto"/>
      </w:pPr>
      <w:r>
        <w:rPr>
          <w:rFonts w:ascii="Calibri" w:hAnsi="Calibri" w:cs="Calibri"/>
          <w:b/>
          <w:i w:val="0"/>
          <w:color w:val="000000"/>
          <w:sz w:val="21"/>
        </w:rPr>
        <w:t xml:space="preserve">Ground truth. </w:t>
      </w:r>
      <w:r>
        <w:rPr>
          <w:rFonts w:ascii="Calibri" w:hAnsi="Calibri" w:cs="Calibri"/>
          <w:b w:val="0"/>
          <w:i w:val="0"/>
          <w:color w:val="000000"/>
          <w:sz w:val="21"/>
        </w:rPr>
        <w:t>Using the MRZ as ground truth measures OCR fidelity to the printed MRZ, not to civil-registry identity.</w:t>
      </w:r>
    </w:p>
    <w:p>
      <w:pPr>
        <w:pStyle w:val="ListBullet"/>
        <w:spacing w:before="0" w:after="60" w:line="276" w:lineRule="auto"/>
      </w:pPr>
      <w:r>
        <w:rPr>
          <w:rFonts w:ascii="Calibri" w:hAnsi="Calibri" w:cs="Calibri"/>
          <w:b/>
          <w:i w:val="0"/>
          <w:color w:val="000000"/>
          <w:sz w:val="21"/>
        </w:rPr>
        <w:t xml:space="preserve">PAD generalization. </w:t>
      </w:r>
      <w:r>
        <w:rPr>
          <w:rFonts w:ascii="Calibri" w:hAnsi="Calibri" w:cs="Calibri"/>
          <w:b w:val="0"/>
          <w:i w:val="0"/>
          <w:color w:val="000000"/>
          <w:sz w:val="21"/>
        </w:rPr>
        <w:t>Heuristic corroboration is tuned to observed attacks; novel display hardware and high-fidelity masks are not represented.</w:t>
      </w:r>
    </w:p>
    <w:p>
      <w:pPr>
        <w:pStyle w:val="ListBullet"/>
        <w:spacing w:before="0" w:after="60" w:line="276" w:lineRule="auto"/>
      </w:pPr>
      <w:r>
        <w:rPr>
          <w:rFonts w:ascii="Calibri" w:hAnsi="Calibri" w:cs="Calibri"/>
          <w:b/>
          <w:i w:val="0"/>
          <w:color w:val="000000"/>
          <w:sz w:val="21"/>
        </w:rPr>
        <w:t xml:space="preserve">Out-of-scope attacks. </w:t>
      </w:r>
      <w:r>
        <w:rPr>
          <w:rFonts w:ascii="Calibri" w:hAnsi="Calibri" w:cs="Calibri"/>
          <w:b w:val="0"/>
          <w:i w:val="0"/>
          <w:color w:val="000000"/>
          <w:sz w:val="21"/>
        </w:rPr>
        <w:t>Camera or operating-system injection, deepfake video injection, and coerced-genuine-user cases are not addressed by a software-only client.</w:t>
      </w:r>
    </w:p>
    <w:p>
      <w:pPr>
        <w:spacing w:before="280" w:after="80" w:line="276" w:lineRule="auto"/>
        <w:pBdr>
          <w:bottom w:val="single" w:sz="6" w:space="3" w:color="000000"/>
        </w:pBdr>
      </w:pPr>
      <w:r>
        <w:rPr>
          <w:rFonts w:ascii="Calibri" w:hAnsi="Calibri" w:cs="Calibri"/>
          <w:b/>
          <w:i w:val="0"/>
          <w:color w:val="000000"/>
          <w:sz w:val="28"/>
        </w:rPr>
        <w:t>10.  Future Work</w:t>
      </w:r>
    </w:p>
    <w:p>
      <w:pPr>
        <w:pStyle w:val="ListNumber"/>
        <w:spacing w:before="0" w:after="60" w:line="276" w:lineRule="auto"/>
      </w:pPr>
      <w:r>
        <w:rPr>
          <w:rFonts w:ascii="Calibri" w:hAnsi="Calibri" w:cs="Calibri"/>
          <w:b w:val="0"/>
          <w:i w:val="0"/>
          <w:color w:val="000000"/>
          <w:sz w:val="21"/>
        </w:rPr>
        <w:t>MRZ localization and perspective rectification — the highest-return change for the passports that still fail to read.</w:t>
      </w:r>
    </w:p>
    <w:p>
      <w:pPr>
        <w:pStyle w:val="ListNumber"/>
        <w:spacing w:before="0" w:after="60" w:line="276" w:lineRule="auto"/>
      </w:pPr>
      <w:r>
        <w:rPr>
          <w:rFonts w:ascii="Calibri" w:hAnsi="Calibri" w:cs="Calibri"/>
          <w:b w:val="0"/>
          <w:i w:val="0"/>
          <w:color w:val="000000"/>
          <w:sz w:val="21"/>
        </w:rPr>
        <w:t>Independent PAD benchmarking with reported APCER and BPCER against a bona-fide error budget.</w:t>
      </w:r>
    </w:p>
    <w:p>
      <w:pPr>
        <w:pStyle w:val="ListNumber"/>
        <w:spacing w:before="0" w:after="60" w:line="276" w:lineRule="auto"/>
      </w:pPr>
      <w:r>
        <w:rPr>
          <w:rFonts w:ascii="Calibri" w:hAnsi="Calibri" w:cs="Calibri"/>
          <w:b w:val="0"/>
          <w:i w:val="0"/>
          <w:color w:val="000000"/>
          <w:sz w:val="21"/>
        </w:rPr>
        <w:t>Calibrated, per-population thresholds for face match and passive risk, with fairness analysis across demographics and eyewear.</w:t>
      </w:r>
    </w:p>
    <w:p>
      <w:pPr>
        <w:pStyle w:val="ListNumber"/>
        <w:spacing w:before="0" w:after="60" w:line="276" w:lineRule="auto"/>
      </w:pPr>
      <w:r>
        <w:rPr>
          <w:rFonts w:ascii="Calibri" w:hAnsi="Calibri" w:cs="Calibri"/>
          <w:b w:val="0"/>
          <w:i w:val="0"/>
          <w:color w:val="000000"/>
          <w:sz w:val="21"/>
        </w:rPr>
        <w:t>Deepfake and injection resistance through device attestation, signed capture, and challenge entropy.</w:t>
      </w:r>
    </w:p>
    <w:p>
      <w:pPr>
        <w:pStyle w:val="ListNumber"/>
        <w:spacing w:before="0" w:after="60" w:line="276" w:lineRule="auto"/>
      </w:pPr>
      <w:r>
        <w:rPr>
          <w:rFonts w:ascii="Calibri" w:hAnsi="Calibri" w:cs="Calibri"/>
          <w:b w:val="0"/>
          <w:i w:val="0"/>
          <w:color w:val="000000"/>
          <w:sz w:val="21"/>
        </w:rPr>
        <w:t>A large labelled validation study to convert target headline figures into certified operating points.</w:t>
      </w:r>
    </w:p>
    <w:p>
      <w:pPr>
        <w:spacing w:before="280" w:after="80" w:line="276" w:lineRule="auto"/>
        <w:pBdr>
          <w:bottom w:val="single" w:sz="6" w:space="3" w:color="000000"/>
        </w:pBdr>
      </w:pPr>
      <w:r>
        <w:rPr>
          <w:rFonts w:ascii="Calibri" w:hAnsi="Calibri" w:cs="Calibri"/>
          <w:b/>
          <w:i w:val="0"/>
          <w:color w:val="000000"/>
          <w:sz w:val="28"/>
        </w:rPr>
        <w:t>11.  Conclusion</w:t>
      </w:r>
    </w:p>
    <w:p>
      <w:pPr>
        <w:spacing w:before="0" w:after="120" w:line="276" w:lineRule="auto"/>
        <w:jc w:val="both"/>
      </w:pPr>
      <w:r>
        <w:rPr>
          <w:rFonts w:ascii="Calibri" w:hAnsi="Calibri" w:cs="Calibri"/>
          <w:b w:val="0"/>
          <w:i w:val="0"/>
          <w:color w:val="000000"/>
          <w:sz w:val="21"/>
        </w:rPr>
        <w:t>Kyron eKYC shows that a composed, explainable remote-proofing pipeline can be made materially more robust to real-world capture without sacrificing spoof resistance, by fixing the front-end failure modes that dominate bona-fide rejections: document-type handling, MRZ legibility, mirrored capture, and lighting. The measured gains — passport read validity from 35% to 46%, dark-room face detection from 25% to 95%, and elimination of the eyeglass PAD false-reject, all without regressions on the well-behaved case — argue for treating capture robustness as a first-class engineering target alongside model accuracy. The path to certification is a disciplined hardening and independent-validation program, not a change of architecture.</w:t>
      </w:r>
    </w:p>
    <w:p>
      <w:pPr>
        <w:spacing w:before="280" w:after="80" w:line="276" w:lineRule="auto"/>
        <w:pBdr>
          <w:bottom w:val="single" w:sz="6" w:space="3" w:color="000000"/>
        </w:pBdr>
      </w:pPr>
      <w:r>
        <w:rPr>
          <w:rFonts w:ascii="Calibri" w:hAnsi="Calibri" w:cs="Calibri"/>
          <w:b/>
          <w:i w:val="0"/>
          <w:color w:val="000000"/>
          <w:sz w:val="28"/>
        </w:rPr>
        <w:t>References</w:t>
      </w:r>
    </w:p>
    <w:p>
      <w:pPr>
        <w:spacing w:before="0" w:after="60" w:line="276" w:lineRule="auto"/>
      </w:pPr>
      <w:r>
        <w:rPr>
          <w:rFonts w:ascii="Calibri" w:hAnsi="Calibri" w:cs="Calibri"/>
          <w:b w:val="0"/>
          <w:i w:val="0"/>
          <w:color w:val="000000"/>
          <w:sz w:val="19"/>
        </w:rPr>
        <w:t>[1]  NIST, SP 800-63A: Digital Identity Guidelines — Enrollment and Identity Proofing.</w:t>
      </w:r>
    </w:p>
    <w:p>
      <w:pPr>
        <w:spacing w:before="0" w:after="60" w:line="276" w:lineRule="auto"/>
      </w:pPr>
      <w:r>
        <w:rPr>
          <w:rFonts w:ascii="Calibri" w:hAnsi="Calibri" w:cs="Calibri"/>
          <w:b w:val="0"/>
          <w:i w:val="0"/>
          <w:color w:val="000000"/>
          <w:sz w:val="19"/>
        </w:rPr>
        <w:t>[2]  ICAO, Doc 9303: Machine Readable Travel Documents, Parts 3–4 (TD3).</w:t>
      </w:r>
    </w:p>
    <w:p>
      <w:pPr>
        <w:spacing w:before="0" w:after="60" w:line="276" w:lineRule="auto"/>
      </w:pPr>
      <w:r>
        <w:rPr>
          <w:rFonts w:ascii="Calibri" w:hAnsi="Calibri" w:cs="Calibri"/>
          <w:b w:val="0"/>
          <w:i w:val="0"/>
          <w:color w:val="000000"/>
          <w:sz w:val="19"/>
        </w:rPr>
        <w:t>[3]  ISO/IEC 30107-3, Biometric presentation attack detection — Part 3: Testing and reporting.</w:t>
      </w:r>
    </w:p>
    <w:p>
      <w:pPr>
        <w:spacing w:before="0" w:after="60" w:line="276" w:lineRule="auto"/>
      </w:pPr>
      <w:r>
        <w:rPr>
          <w:rFonts w:ascii="Calibri" w:hAnsi="Calibri" w:cs="Calibri"/>
          <w:b w:val="0"/>
          <w:i w:val="0"/>
          <w:color w:val="000000"/>
          <w:sz w:val="19"/>
        </w:rPr>
        <w:t>[4]  FATF, Guidance on Digital Identity.</w:t>
      </w:r>
    </w:p>
    <w:p>
      <w:pPr>
        <w:spacing w:before="0" w:after="60" w:line="276" w:lineRule="auto"/>
      </w:pPr>
      <w:r>
        <w:rPr>
          <w:rFonts w:ascii="Calibri" w:hAnsi="Calibri" w:cs="Calibri"/>
          <w:b w:val="0"/>
          <w:i w:val="0"/>
          <w:color w:val="000000"/>
          <w:sz w:val="19"/>
        </w:rPr>
        <w:t>[5]  J. Deng et al., ArcFace / SFace face representation.</w:t>
      </w:r>
    </w:p>
    <w:p>
      <w:pPr>
        <w:spacing w:before="0" w:after="60" w:line="276" w:lineRule="auto"/>
      </w:pPr>
      <w:r>
        <w:rPr>
          <w:rFonts w:ascii="Calibri" w:hAnsi="Calibri" w:cs="Calibri"/>
          <w:b w:val="0"/>
          <w:i w:val="0"/>
          <w:color w:val="000000"/>
          <w:sz w:val="19"/>
        </w:rPr>
        <w:t>[6]  W. Wu et al., YuNet: A Tiny Millisecond-level Face Detector.</w:t>
      </w:r>
    </w:p>
    <w:p>
      <w:pPr>
        <w:spacing w:before="0" w:after="60" w:line="276" w:lineRule="auto"/>
      </w:pPr>
      <w:r>
        <w:rPr>
          <w:rFonts w:ascii="Calibri" w:hAnsi="Calibri" w:cs="Calibri"/>
          <w:b w:val="0"/>
          <w:i w:val="0"/>
          <w:color w:val="000000"/>
          <w:sz w:val="19"/>
        </w:rPr>
        <w:t>[7]  Google, MediaPipe Face Mesh and Hands.</w:t>
      </w:r>
    </w:p>
    <w:p>
      <w:pPr>
        <w:spacing w:before="0" w:after="60" w:line="276" w:lineRule="auto"/>
      </w:pPr>
      <w:r>
        <w:rPr>
          <w:rFonts w:ascii="Calibri" w:hAnsi="Calibri" w:cs="Calibri"/>
          <w:b w:val="0"/>
          <w:i w:val="0"/>
          <w:color w:val="000000"/>
          <w:sz w:val="19"/>
        </w:rPr>
        <w:t>[8]  MiniFASNet / Silent-Face anti-spoofing family (ONNX).</w:t>
      </w:r>
    </w:p>
    <w:p>
      <w:pPr>
        <w:spacing w:before="80" w:after="120" w:line="276" w:lineRule="auto"/>
      </w:pPr>
      <w:r>
        <w:rPr>
          <w:rFonts w:ascii="Calibri" w:hAnsi="Calibri" w:cs="Calibri"/>
          <w:b w:val="0"/>
          <w:i/>
          <w:color w:val="595959"/>
          <w:sz w:val="18"/>
        </w:rPr>
        <w:t>Replace indicative references with full citations before external release.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