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C9A12A"/>
          <w:spacing w:val="60"/>
          <w:sz w:val="24"/>
          <w:szCs w:val="24"/>
        </w:rPr>
        <w:t xml:space="preserve">KYRON eKYC</w:t>
      </w:r>
    </w:p>
    <w:p>
      <w:pPr>
        <w:spacing w:after="0" w:before="240"/>
        <w:jc w:val="center"/>
      </w:pPr>
      <w:r>
        <w:rPr>
          <w:b/>
          <w:bCs/>
          <w:color w:val="0B1B3A"/>
          <w:sz w:val="48"/>
          <w:szCs w:val="48"/>
        </w:rPr>
        <w:t xml:space="preserve">A Standards-Aligned Identity Verification Platform</w:t>
      </w:r>
    </w:p>
    <w:p>
      <w:pPr>
        <w:pBdr>
          <w:bottom w:val="single" w:color="C9A12A" w:sz="12" w:space="8"/>
        </w:pBdr>
        <w:spacing w:after="0" w:before="200"/>
        <w:jc w:val="center"/>
      </w:pPr>
      <w:r>
        <w:rPr>
          <w:color w:val="5A6478"/>
          <w:sz w:val="28"/>
          <w:szCs w:val="28"/>
        </w:rPr>
        <w:t xml:space="preserve">White Paper — Draft</w:t>
      </w:r>
    </w:p>
    <w:p>
      <w:pPr>
        <w:spacing w:before="260"/>
        <w:jc w:val="center"/>
      </w:pPr>
      <w:r>
        <w:rPr>
          <w:i/>
          <w:iCs/>
          <w:color w:val="5A6478"/>
          <w:sz w:val="22"/>
          <w:szCs w:val="22"/>
        </w:rPr>
        <w:t xml:space="preserve">Document-and-biometric identity proofing aligned toward NIST SP 800-63A IAL2,</w:t>
      </w:r>
    </w:p>
    <w:p>
      <w:pPr>
        <w:spacing w:after="600"/>
        <w:jc w:val="center"/>
      </w:pPr>
      <w:r>
        <w:rPr>
          <w:i/>
          <w:iCs/>
          <w:color w:val="5A6478"/>
          <w:sz w:val="22"/>
          <w:szCs w:val="22"/>
        </w:rPr>
        <w:t xml:space="preserve">with production-grade security, privacy, and governance controls.</w:t>
      </w:r>
    </w:p>
    <w:p>
      <w:pPr>
        <w:spacing w:after="40"/>
        <w:jc w:val="center"/>
      </w:pPr>
      <w:r>
        <w:rPr>
          <w:sz w:val="22"/>
          <w:szCs w:val="22"/>
        </w:rPr>
        <w:t xml:space="preserve">Version 0.1 (Draft)  ·  2026-07-01</w:t>
      </w:r>
    </w:p>
    <w:p>
      <w:pPr>
        <w:spacing w:after="40"/>
        <w:jc w:val="center"/>
      </w:pPr>
      <w:r>
        <w:rPr>
          <w:sz w:val="22"/>
          <w:szCs w:val="22"/>
        </w:rPr>
        <w:t xml:space="preserve">Prepared by: Kyron project team</w:t>
      </w:r>
    </w:p>
    <w:p>
      <w:pPr>
        <w:jc w:val="center"/>
      </w:pPr>
      <w:r>
        <w:rPr>
          <w:i/>
          <w:iCs/>
          <w:color w:val="B42318"/>
          <w:sz w:val="20"/>
          <w:szCs w:val="20"/>
        </w:rPr>
        <w:t xml:space="preserve">Status: aligned toward IAL2 — not independently certified.</w:t>
      </w:r>
    </w:p>
    <w:p>
      <w:r>
        <w:br w:type="page"/>
      </w:r>
    </w:p>
    <w:p>
      <w:pPr>
        <w:spacing w:after="200"/>
      </w:pPr>
      <w:r>
        <w:rPr>
          <w:b/>
          <w:bCs/>
          <w:color w:val="0B1B3A"/>
          <w:sz w:val="32"/>
          <w:szCs w:val="32"/>
        </w:rPr>
        <w:t xml:space="preserve">Contents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1.  Executive Summary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2.  Introduction &amp; Problem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3.  System Overview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4.  The Verification Workflow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5.  Security Architecture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6.  Privacy &amp; Data Protection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7.  Standards Alignment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8.  Accuracy &amp; Evaluation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9.  Governance &amp; Compliance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10.  IAL2 Readiness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11.  Roadmap to Certification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12.  Limitations &amp; Honest Status</w:t>
      </w:r>
    </w:p>
    <w:p>
      <w:pPr>
        <w:spacing w:after="90"/>
        <w:ind w:left="240"/>
      </w:pPr>
      <w:r>
        <w:rPr>
          <w:color w:val="1A1A1A"/>
          <w:sz w:val="22"/>
          <w:szCs w:val="22"/>
        </w:rPr>
        <w:t xml:space="preserve">13.  Conclusion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Kyron eKYC is a remote identity-verification platform that proofs a person from a government identity document and a live selfie, then lets them return by face (login and payment). It combines passport/ID document proofing, passive and active presentation-attack detection (liveness), a randomized gesture challenge, one-to-one biometric matching to the document portrait, and an explainable risk decision — in a single workflow designed to align with </w:t>
      </w:r>
      <w:r>
        <w:rPr>
          <w:b/>
          <w:bCs/>
        </w:rPr>
        <w:t xml:space="preserve">NIST SP 800-63A Identity Assurance Level 2 (IAL2)</w:t>
      </w:r>
      <w:r>
        <w:t xml:space="preserve">.</w:t>
      </w:r>
    </w:p>
    <w:p>
      <w:pPr>
        <w:spacing w:after="120" w:line="276"/>
      </w:pPr>
      <w:r>
        <w:t xml:space="preserve">This paper describes the system, its security and privacy architecture, the standards it targets, and — candidly — what has been achieved versus what remains before an IAL2 claim can be made. The engineering foundation is strong: every requirement satisfiable in software has been implemented and covered by an automated test suite (150+ tests). The remaining work is </w:t>
      </w:r>
      <w:r>
        <w:rPr>
          <w:b/>
          <w:bCs/>
        </w:rPr>
        <w:t xml:space="preserve">not code</w:t>
      </w:r>
      <w:r>
        <w:t xml:space="preserve"> — it is a labelled dataset (to measure biometric accuracy at the required threshold), two external integrations, and independent laboratory assessment plus in-region hosting.</w:t>
      </w:r>
    </w:p>
    <w:p>
      <w:pPr>
        <w:spacing w:after="120" w:line="276"/>
      </w:pPr>
      <w:r>
        <w:rPr>
          <w:b/>
          <w:bCs/>
        </w:rPr>
        <w:t xml:space="preserve">Honest status.</w:t>
      </w:r>
      <w:r>
        <w:t xml:space="preserve"> Kyron is aligned toward IAL2 and is assessment-preparing; it is </w:t>
      </w:r>
      <w:r>
        <w:rPr>
          <w:b/>
          <w:bCs/>
        </w:rPr>
        <w:t xml:space="preserve">not</w:t>
      </w:r>
      <w:r>
        <w:t xml:space="preserve"> certified. No claim of NIST, ISO, bank-grade, or government certification should be made until an independent assessment is complete.</w:t>
      </w:r>
    </w:p>
    <w:p>
      <w:pPr>
        <w:pStyle w:val="Heading1"/>
      </w:pPr>
      <w:r>
        <w:t xml:space="preserve">2. Introduction &amp; Problem</w:t>
      </w:r>
    </w:p>
    <w:p>
      <w:pPr>
        <w:spacing w:after="120" w:line="276"/>
      </w:pPr>
      <w:r>
        <w:t xml:space="preserve">Remote onboarding must answer one question with high assurance: is this person who they claim to be? Attackers attempt this with printed photos, screen and video replays, deepfakes, and forged or tampered documents. Regulated use cases (financial onboarding, KYC/AML, government services) additionally require documented, auditable processes and strict protection of the most sensitive category of personal data — biometrics and identity documents.</w:t>
      </w:r>
    </w:p>
    <w:p>
      <w:pPr>
        <w:spacing w:after="120" w:line="276"/>
      </w:pPr>
      <w:r>
        <w:t xml:space="preserve">Kyron addresses this by binding a strong identity document to a verified live person, resisting presentation and replay attacks, and recording an explainable decision — while treating the underlying biometric and PII as special-category data throughout its lifecycle.</w:t>
      </w:r>
    </w:p>
    <w:p>
      <w:pPr>
        <w:pStyle w:val="Heading1"/>
      </w:pPr>
      <w:r>
        <w:t xml:space="preserve">3. System Overview</w:t>
      </w:r>
    </w:p>
    <w:p>
      <w:pPr>
        <w:spacing w:after="120" w:line="276"/>
      </w:pPr>
      <w:r>
        <w:t xml:space="preserve">Kyron is a web application with a Python (FastAPI) backend and a React/TypeScript (Vite) frontend. Machine-learning components are pretrained, open models run either in the browser or on the server: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Face detection &amp; embedding:</w:t>
      </w:r>
      <w:r>
        <w:t xml:space="preserve"> YuNet (detection) and SFace (recognition) via ONNX Runtime, for the one-to-one document-to-selfie match.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Passive anti-spoof (PAD):</w:t>
      </w:r>
      <w:r>
        <w:t xml:space="preserve"> a MiniFASNet-family model with burst-mode voting and screen/print/held-phone heuristics.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Active liveness &amp; gesture:</w:t>
      </w:r>
      <w:r>
        <w:t xml:space="preserve"> MediaPipe FaceMesh and Hands drive randomized head-action and finger-count challenges, with server-side verification of evidence bursts.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Document OCR &amp; fraud checks:</w:t>
      </w:r>
      <w:r>
        <w:t xml:space="preserve"> Tesseract/Surya OCR with passport TD3 MRZ parsing and check-digit validation, plus tamper and recapture (print/screen) analysis.</w:t>
      </w:r>
    </w:p>
    <w:p>
      <w:pPr>
        <w:spacing w:after="120" w:line="276"/>
      </w:pPr>
      <w:r>
        <w:t xml:space="preserve">Verified profiles (a protected face template plus minimal document attributes) are stored in a SQL profile store (SQLite for development, PostgreSQL for production). Raw document, selfie, and liveness images are analyzed in memory and never written to disk.</w:t>
      </w:r>
    </w:p>
    <w:p>
      <w:pPr>
        <w:spacing w:after="40" w:before="160"/>
        <w:jc w:val="center"/>
      </w:pPr>
      <w:r>
        <w:drawing>
          <wp:inline distT="0" distB="0" distL="0" distR="0">
            <wp:extent cx="5715000" cy="4038600"/>
            <wp:effectExtent t="0" r="0" b="0" l="0"/>
            <wp:docPr id="1" name="SystemWorkflow" descr="End-to-end verification workflow: document proofing, liveness, gesture, face match, decision, enrollment." title="Kyron eKYC system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8"/>
          <w:sz w:val="18"/>
          <w:szCs w:val="18"/>
        </w:rPr>
        <w:t xml:space="preserve">Figure 1. Kyron eKYC system workflow — from document capture through the risk decision and enrollment.</w:t>
      </w:r>
    </w:p>
    <w:p>
      <w:pPr>
        <w:pStyle w:val="Heading1"/>
      </w:pPr>
      <w:r>
        <w:t xml:space="preserve">4. The Verification Workflow</w:t>
      </w:r>
    </w:p>
    <w:p>
      <w:pPr>
        <w:spacing w:after="120" w:line="276"/>
      </w:pPr>
      <w:r>
        <w:t xml:space="preserve">A verification session proceeds through explainable steps, each contributing to a final risk decision with machine-readable reason codes: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Document proofing</w:t>
      </w:r>
      <w:r>
        <w:t xml:space="preserve"> — capture a passport or national ID; OCR the data; validate the MRZ (hard-fail on an invalid TD3 MRZ); screen for tampering and print/screen recapture.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Passive liveness (PAD)</w:t>
      </w:r>
      <w:r>
        <w:t xml:space="preserve"> — detect presentation attacks (printed photo, screen/video replay) from the selfie burst.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Active liveness</w:t>
      </w:r>
      <w:r>
        <w:t xml:space="preserve"> — a randomized head-action challenge verified from server-side evidence, not trusted from client landmarks.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Gesture challenge</w:t>
      </w:r>
      <w:r>
        <w:t xml:space="preserve"> — a randomized finger-count/hand-sign step, ordering-enforced and protected by one-time server-issued nonces to resist replay.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One-to-one face match</w:t>
      </w:r>
      <w:r>
        <w:t xml:space="preserve"> — compare the live selfie to the document portrait; score against a configurable threshold.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Risk decision</w:t>
      </w:r>
      <w:r>
        <w:t xml:space="preserve"> — aggregate all signals into passed / pending / rejected with reason codes; on pass, the user may enroll a protected template.</w:t>
      </w:r>
    </w:p>
    <w:p>
      <w:pPr>
        <w:spacing w:after="120" w:line="276"/>
      </w:pPr>
      <w:r>
        <w:t xml:space="preserve">Two returning-user flows reuse the enrolled template: </w:t>
      </w:r>
      <w:r>
        <w:rPr>
          <w:b/>
          <w:bCs/>
        </w:rPr>
        <w:t xml:space="preserve">Face Login</w:t>
      </w:r>
      <w:r>
        <w:t xml:space="preserve"> (authenticate by face, with liveness and rate limiting) and </w:t>
      </w:r>
      <w:r>
        <w:rPr>
          <w:b/>
          <w:bCs/>
        </w:rPr>
        <w:t xml:space="preserve">Face Pay</w:t>
      </w:r>
      <w:r>
        <w:t xml:space="preserve"> (a face-authorized transfer demo). An optional </w:t>
      </w:r>
      <w:r>
        <w:rPr>
          <w:b/>
          <w:bCs/>
        </w:rPr>
        <w:t xml:space="preserve">contact-confirmation</w:t>
      </w:r>
      <w:r>
        <w:t xml:space="preserve"> step (enrollment code to a validated email/phone) and a </w:t>
      </w:r>
      <w:r>
        <w:rPr>
          <w:b/>
          <w:bCs/>
        </w:rPr>
        <w:t xml:space="preserve">notification of proofing</w:t>
      </w:r>
      <w:r>
        <w:t xml:space="preserve"> implement IAL2 proofing steps 5–6 when enabled.</w:t>
      </w:r>
    </w:p>
    <w:p>
      <w:pPr>
        <w:pStyle w:val="Heading1"/>
      </w:pPr>
      <w:r>
        <w:t xml:space="preserve">5. Security Architecture</w:t>
      </w:r>
    </w:p>
    <w:p>
      <w:pPr>
        <w:spacing w:after="120" w:line="276"/>
      </w:pPr>
      <w:r>
        <w:t xml:space="preserve">Security controls are implemented, configurable, and test-covered. Most are off by default so the public demo stays open, and enabled in production via environment configuration.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60"/>
        <w:gridCol w:w="6300"/>
      </w:tblGrid>
      <w:tr>
        <w:trPr>
          <w:tblHeader/>
        </w:trPr>
        <w:tc>
          <w:tcPr>
            <w:tcW w:type="dxa" w:w="306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Control</w:t>
            </w:r>
          </w:p>
        </w:tc>
        <w:tc>
          <w:tcPr>
            <w:tcW w:type="dxa" w:w="630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Summary</w:t>
            </w:r>
          </w:p>
        </w:tc>
      </w:tr>
      <w:tr>
        <w:trPr>
          <w:tblHeader w:val="false"/>
        </w:trP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Encryption at rest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Face templates and PII encrypted with authenticated symmetric encryption (Fernet); PII in an encrypted blob; passport number kept queryable via a keyed blind index.</w:t>
            </w:r>
          </w:p>
        </w:tc>
      </w:tr>
      <w:tr>
        <w:trPr>
          <w:tblHeader w:val="false"/>
        </w:trPr>
        <w:tc>
          <w:tcPr>
            <w:tcW w:type="dxa" w:w="30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Cancelable templates (ISO 24745)</w:t>
            </w:r>
          </w:p>
        </w:tc>
        <w:tc>
          <w:tcPr>
            <w:tcW w:type="dxa" w:w="6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 key-derived orthonormal transform makes stored templates revocable/renewable by re-keying and unlinkable across systems — while preserving matching scores exactly.</w:t>
            </w:r>
          </w:p>
        </w:tc>
      </w:tr>
      <w:tr>
        <w:trPr>
          <w:tblHeader w:val="false"/>
        </w:trP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Key management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secret can be sourced from a manager (file:/command:/env: specs) rather than a bare variable; encryption and JWT keys support rotation (retired keys still decrypt/verify).</w:t>
            </w:r>
          </w:p>
        </w:tc>
      </w:tr>
      <w:tr>
        <w:trPr>
          <w:tblHeader w:val="false"/>
        </w:trPr>
        <w:tc>
          <w:tcPr>
            <w:tcW w:type="dxa" w:w="30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 &amp; RBAC</w:t>
            </w:r>
          </w:p>
        </w:tc>
        <w:tc>
          <w:tcPr>
            <w:tcW w:type="dxa" w:w="6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Optional API-key gate on all endpoints, plus per-user OAuth2 password → JWT with role-based access; admin endpoints fail closed.</w:t>
            </w:r>
          </w:p>
        </w:tc>
      </w:tr>
      <w:tr>
        <w:trPr>
          <w:tblHeader w:val="false"/>
        </w:trP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 security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Verification sessions are unguessable, short-lived (idle + absolute TTL), and client-bound by a per-session token to prevent id-only hijack/replay.</w:t>
            </w:r>
          </w:p>
        </w:tc>
      </w:tr>
      <w:tr>
        <w:trPr>
          <w:tblHeader w:val="false"/>
        </w:trPr>
        <w:tc>
          <w:tcPr>
            <w:tcW w:type="dxa" w:w="30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Tamper-evident, hash-chained trail of authentication, PII access, admin actions, and enrollment; an integrity-verify endpoint detects any edit or deletion.</w:t>
            </w:r>
          </w:p>
        </w:tc>
      </w:tr>
      <w:tr>
        <w:trPr>
          <w:tblHeader w:val="false"/>
        </w:trPr>
        <w:tc>
          <w:tcPr>
            <w:tcW w:type="dxa" w:w="30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Abuse &amp; transport</w:t>
            </w:r>
          </w:p>
        </w:tc>
        <w:tc>
          <w:tcPr>
            <w:tcW w:type="dxa" w:w="6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Per-client and global rate limits (with a dedicated face-login throttle), an explicit CORS allowlist, and HTTPS/HSTS in hosted deployments.</w:t>
            </w:r>
          </w:p>
        </w:tc>
      </w:tr>
      <w:tr>
        <w:trPr>
          <w:tblHeader w:val="false"/>
        </w:trPr>
        <w:tc>
          <w:tcPr>
            <w:tcW w:type="dxa" w:w="30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Supply chain</w:t>
            </w:r>
          </w:p>
        </w:tc>
        <w:tc>
          <w:tcPr>
            <w:tcW w:type="dxa" w:w="6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CI dependency scanning (pip-audit + npm audit) on every change, with Dependabot; the initial scan found and cleared 21 advisories.</w:t>
            </w:r>
          </w:p>
        </w:tc>
      </w:tr>
    </w:tbl>
    <w:p>
      <w:pPr>
        <w:pStyle w:val="Heading1"/>
      </w:pPr>
      <w:r>
        <w:t xml:space="preserve">6. Privacy &amp; Data Protection</w:t>
      </w:r>
    </w:p>
    <w:p>
      <w:pPr>
        <w:spacing w:after="120" w:line="276"/>
      </w:pPr>
      <w:r>
        <w:t xml:space="preserve">Kyron treats biometrics and document PII as special-category data and applies data-protection-by-design: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 minimization</w:t>
      </w:r>
      <w:r>
        <w:t xml:space="preserve"> — no raw biometric media is stored; only a protected template and minimal attributes persist, and only on enrollment. Embeddings are never exposed through API responses.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Consent</w:t>
      </w:r>
      <w:r>
        <w:t xml:space="preserve"> — a versioned consent notice and opt-in gate; each enrolled profile records the consent terms version and timestamp.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Retention</w:t>
      </w:r>
      <w:r>
        <w:t xml:space="preserve"> — a configurable retention window with an administrative auto-purge of profiles idle beyond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Data-subject rights</w:t>
      </w:r>
      <w:r>
        <w:t xml:space="preserve"> — self-service export (portability) and erasure, authenticated by the user's own live selfie; administrative deletion is also available and audited.</w:t>
      </w:r>
    </w:p>
    <w:p>
      <w:pPr>
        <w:spacing w:after="120" w:line="276"/>
      </w:pPr>
      <w:r>
        <w:t xml:space="preserve">These map to GDPR Articles 5, 9, 13, 17, 30 and 32, and are supported by the tamper-evident audit log for accountability.</w:t>
      </w:r>
    </w:p>
    <w:p>
      <w:pPr>
        <w:pStyle w:val="Heading1"/>
      </w:pPr>
      <w:r>
        <w:t xml:space="preserve">7. Standards Alignment</w:t>
      </w:r>
    </w:p>
    <w:p>
      <w:pPr>
        <w:spacing w:after="120" w:line="276"/>
      </w:pPr>
      <w:r>
        <w:t xml:space="preserve">Kyron is designed and documented against the following standards. Alignment is self-assessed and evidence-backed; it is not a certification.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60"/>
        <w:gridCol w:w="3900"/>
        <w:gridCol w:w="2700"/>
      </w:tblGrid>
      <w:tr>
        <w:trPr>
          <w:tblHeader/>
        </w:trPr>
        <w:tc>
          <w:tcPr>
            <w:tcW w:type="dxa" w:w="276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Standard</w:t>
            </w:r>
          </w:p>
        </w:tc>
        <w:tc>
          <w:tcPr>
            <w:tcW w:type="dxa" w:w="390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Relevance</w:t>
            </w:r>
          </w:p>
        </w:tc>
        <w:tc>
          <w:tcPr>
            <w:tcW w:type="dxa" w:w="270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NIST SP 800-63A (IAL2)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Remote identity proofing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Aligned (partial); assessment pending</w:t>
            </w:r>
          </w:p>
        </w:tc>
      </w:tr>
      <w:tr>
        <w:trPr>
          <w:tblHeader w:val="false"/>
        </w:trPr>
        <w:tc>
          <w:tcPr>
            <w:tcW w:type="dxa" w:w="27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NIST SP 800-63B</w:t>
            </w:r>
          </w:p>
        </w:tc>
        <w:tc>
          <w:tcPr>
            <w:tcW w:type="dxa" w:w="39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authenticator (face login)</w:t>
            </w:r>
          </w:p>
        </w:tc>
        <w:tc>
          <w:tcPr>
            <w:tcW w:type="dxa" w:w="27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Aligned (partial)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ISO/IEC 30107-3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Presentation-attack detection testing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Built to; independent test pending</w:t>
            </w:r>
          </w:p>
        </w:tc>
      </w:tr>
      <w:tr>
        <w:trPr>
          <w:tblHeader w:val="false"/>
        </w:trPr>
        <w:tc>
          <w:tcPr>
            <w:tcW w:type="dxa" w:w="27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ISO/IEC 24745</w:t>
            </w:r>
          </w:p>
        </w:tc>
        <w:tc>
          <w:tcPr>
            <w:tcW w:type="dxa" w:w="39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template protection</w:t>
            </w:r>
          </w:p>
        </w:tc>
        <w:tc>
          <w:tcPr>
            <w:tcW w:type="dxa" w:w="27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Implemented (cancelable templates)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ISO/IEC 27001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Information-security management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Controls + draft ISMS in place</w:t>
            </w:r>
          </w:p>
        </w:tc>
      </w:tr>
      <w:tr>
        <w:trPr>
          <w:tblHeader w:val="false"/>
        </w:trPr>
        <w:tc>
          <w:tcPr>
            <w:tcW w:type="dxa" w:w="27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ICAO Doc 9303</w:t>
            </w:r>
          </w:p>
        </w:tc>
        <w:tc>
          <w:tcPr>
            <w:tcW w:type="dxa" w:w="39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Machine-readable passports (MRZ)</w:t>
            </w:r>
          </w:p>
        </w:tc>
        <w:tc>
          <w:tcPr>
            <w:tcW w:type="dxa" w:w="27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TD3 MRZ parse + check digits</w:t>
            </w:r>
          </w:p>
        </w:tc>
      </w:tr>
      <w:tr>
        <w:trPr>
          <w:tblHeader w:val="false"/>
        </w:trPr>
        <w:tc>
          <w:tcPr>
            <w:tcW w:type="dxa" w:w="27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GDPR / local law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Special-category data protection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By-design; legal review pending</w:t>
            </w:r>
          </w:p>
        </w:tc>
      </w:tr>
      <w:tr>
        <w:trPr>
          <w:tblHeader w:val="false"/>
        </w:trPr>
        <w:tc>
          <w:tcPr>
            <w:tcW w:type="dxa" w:w="276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FATF</w:t>
            </w:r>
          </w:p>
        </w:tc>
        <w:tc>
          <w:tcPr>
            <w:tcW w:type="dxa" w:w="39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AML/KYC customer due diligence</w:t>
            </w:r>
          </w:p>
        </w:tc>
        <w:tc>
          <w:tcPr>
            <w:tcW w:type="dxa" w:w="27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Supports CDD + record-keeping</w:t>
            </w:r>
          </w:p>
        </w:tc>
      </w:tr>
    </w:tbl>
    <w:p>
      <w:pPr>
        <w:spacing w:after="120" w:line="276"/>
      </w:pPr>
      <w:r>
        <w:t xml:space="preserve">A clause-by-clause control-to-evidence mapping is maintained separately (docs/controls-standards-mapping.md).</w:t>
      </w:r>
    </w:p>
    <w:p>
      <w:pPr>
        <w:pStyle w:val="Heading1"/>
      </w:pPr>
      <w:r>
        <w:t xml:space="preserve">8. Accuracy &amp; Evaluation</w:t>
      </w:r>
    </w:p>
    <w:p>
      <w:pPr>
        <w:spacing w:after="120" w:line="276"/>
      </w:pPr>
      <w:r>
        <w:t xml:space="preserve">Honesty about measurement is a design principle. Attack detection has been exercised against internal print and phone-screen replay sets, and one-to-one face matching has an initial benchmark on the public LFW dataset (~1% equal-error rate). However, this is </w:t>
      </w:r>
      <w:r>
        <w:rPr>
          <w:b/>
          <w:bCs/>
        </w:rPr>
        <w:t xml:space="preserve">not</w:t>
      </w:r>
      <w:r>
        <w:t xml:space="preserve"> the operational task or the IAL2 threshold: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</w:t>
      </w:r>
      <w:r>
        <w:rPr>
          <w:b/>
          <w:bCs/>
        </w:rPr>
        <w:t xml:space="preserve">operational</w:t>
      </w:r>
      <w:r>
        <w:t xml:space="preserve"> metric — false-match / false-non-match rate on </w:t>
      </w:r>
      <w:r>
        <w:rPr>
          <w:b/>
          <w:bCs/>
        </w:rPr>
        <w:t xml:space="preserve">genuine document-to-selfie pairs</w:t>
      </w:r>
      <w:r>
        <w:t xml:space="preserve">, at the IAL2 bar (false-match rate ≤ 1:10,000) — has not yet been measured, because it requires a labelled, consented dataset of real pairs.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Presentation-attack detection has not been evaluated by an accredited laboratory (ISO/IEC 30107-3 APCER/BPCER), which is required before any formal accuracy claim.</w:t>
      </w:r>
    </w:p>
    <w:p>
      <w:pPr>
        <w:spacing w:after="120" w:line="276"/>
      </w:pPr>
      <w:r>
        <w:t xml:space="preserve">Evaluation harnesses (face matching, active liveness, document print/copy) and a detailed data-collection plan are in place, so measurement can begin as soon as suitable data is available. No accuracy figure in this paper should be read as a certified or production number.</w:t>
      </w:r>
    </w:p>
    <w:p>
      <w:pPr>
        <w:pStyle w:val="Heading1"/>
      </w:pPr>
      <w:r>
        <w:t xml:space="preserve">9. Governance &amp; Compliance</w:t>
      </w:r>
    </w:p>
    <w:p>
      <w:pPr>
        <w:spacing w:after="120" w:line="276"/>
      </w:pPr>
      <w:r>
        <w:t xml:space="preserve">A draft Information Security Management System (ISMS) documentation set accompanies the technical controls, each grounded in the system as built so the documents double as evidence: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 Protection &amp; Retention Policy</w:t>
      </w:r>
      <w:r>
        <w:t xml:space="preserve"> — lawful basis, data categories, security measures, retention schedule, and data-subject rights.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Data Protection Impact Assessment (DPIA)</w:t>
      </w:r>
      <w:r>
        <w:t xml:space="preserve"> — a risk register for the biometric processing with mitigations and residual ratings.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Incident Response Plan</w:t>
      </w:r>
      <w:r>
        <w:t xml:space="preserve"> — severity tiers, response phases, breach-notification timelines, and a key-compromise runbook.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Internal Gap Assessment &amp; Statement of Applicability</w:t>
      </w:r>
      <w:r>
        <w:t xml:space="preserve"> — a self-audit against ISO 27001 Annex A and NIST, with a prioritized closure plan.</w:t>
      </w:r>
    </w:p>
    <w:p>
      <w:pPr>
        <w:spacing w:after="120" w:line="276"/>
      </w:pPr>
      <w:r>
        <w:t xml:space="preserve">These are drafts pending legal review; roles and contacts are placeholders for the operating entity.</w:t>
      </w:r>
    </w:p>
    <w:p>
      <w:pPr>
        <w:pStyle w:val="Heading1"/>
      </w:pPr>
      <w:r>
        <w:t xml:space="preserve">10. IAL2 Readiness</w:t>
      </w:r>
    </w:p>
    <w:p>
      <w:pPr>
        <w:spacing w:after="120" w:line="276"/>
      </w:pPr>
      <w:r>
        <w:t xml:space="preserve">Standing against the IAL2 proofing steps (met / partial / gap):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720"/>
        <w:gridCol w:w="5340"/>
        <w:gridCol w:w="3300"/>
      </w:tblGrid>
      <w:tr>
        <w:trPr>
          <w:tblHeader/>
        </w:trPr>
        <w:tc>
          <w:tcPr>
            <w:tcW w:type="dxa" w:w="72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IAL2 step</w:t>
            </w:r>
          </w:p>
        </w:tc>
        <w:tc>
          <w:tcPr>
            <w:tcW w:type="dxa" w:w="3300"/>
            <w:shd w:fill="D5E1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0B1B3A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Resolution (core attributes → one identity)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72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4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collection (strong/superior)</w:t>
            </w:r>
          </w:p>
        </w:tc>
        <w:tc>
          <w:tcPr>
            <w:tcW w:type="dxa" w:w="3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Evidence validation (genuine &amp; valid)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(no authoritative-source check)</w:t>
            </w:r>
          </w:p>
        </w:tc>
      </w:tr>
      <w:tr>
        <w:trPr>
          <w:tblHeader w:val="false"/>
        </w:trPr>
        <w:tc>
          <w:tcPr>
            <w:tcW w:type="dxa" w:w="72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4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binding + liveness</w:t>
            </w:r>
          </w:p>
        </w:tc>
        <w:tc>
          <w:tcPr>
            <w:tcW w:type="dxa" w:w="3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(performance not lab-proven)</w:t>
            </w:r>
          </w:p>
        </w:tc>
      </w:tr>
      <w:tr>
        <w:trPr>
          <w:tblHeader w:val="false"/>
        </w:trPr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Address/contact confirmation (enrollment code)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72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4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of proofing</w:t>
            </w:r>
          </w:p>
        </w:tc>
        <w:tc>
          <w:tcPr>
            <w:tcW w:type="dxa" w:w="3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Biometric performance (FMR ≤ 1:10,000; PAD)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(data + lab)</w:t>
            </w:r>
          </w:p>
        </w:tc>
      </w:tr>
      <w:tr>
        <w:trPr>
          <w:tblHeader w:val="false"/>
        </w:trPr>
        <w:tc>
          <w:tcPr>
            <w:tcW w:type="dxa" w:w="72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34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Fraud / injection resistance (unattended)</w:t>
            </w:r>
          </w:p>
        </w:tc>
        <w:tc>
          <w:tcPr>
            <w:tcW w:type="dxa" w:w="3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Partial (no device attestation)</w:t>
            </w:r>
          </w:p>
        </w:tc>
      </w:tr>
      <w:tr>
        <w:trPr>
          <w:tblHeader w:val="false"/>
        </w:trPr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Records &amp; PII security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</w:t>
            </w:r>
          </w:p>
        </w:tc>
      </w:tr>
      <w:tr>
        <w:trPr>
          <w:tblHeader w:val="false"/>
        </w:trPr>
        <w:tc>
          <w:tcPr>
            <w:tcW w:type="dxa" w:w="72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34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Independent assessment</w:t>
            </w:r>
          </w:p>
        </w:tc>
        <w:tc>
          <w:tcPr>
            <w:tcW w:type="dxa" w:w="3300"/>
            <w:shd w:fill="F3F6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(external)</w:t>
            </w:r>
          </w:p>
        </w:tc>
      </w:tr>
    </w:tbl>
    <w:p>
      <w:pPr>
        <w:spacing w:after="120" w:line="276"/>
      </w:pPr>
      <w:r>
        <w:t xml:space="preserve">What remains is classified by owner, and none of it is application code: </w:t>
      </w:r>
      <w:r>
        <w:rPr>
          <w:b/>
          <w:bCs/>
        </w:rPr>
        <w:t xml:space="preserve">data</w:t>
      </w:r>
      <w:r>
        <w:t xml:space="preserve"> (a genuine document-to-selfie dataset to measure FMR), </w:t>
      </w:r>
      <w:r>
        <w:rPr>
          <w:b/>
          <w:bCs/>
        </w:rPr>
        <w:t xml:space="preserve">integration</w:t>
      </w:r>
      <w:r>
        <w:t xml:space="preserve"> (authoritative-source validation), </w:t>
      </w:r>
      <w:r>
        <w:rPr>
          <w:b/>
          <w:bCs/>
        </w:rPr>
        <w:t xml:space="preserve">external + budget</w:t>
      </w:r>
      <w:r>
        <w:t xml:space="preserve"> (an ISO 30107-3 PAD test, a demographic-bias study, and an accredited IAL2 assessment), and </w:t>
      </w:r>
      <w:r>
        <w:rPr>
          <w:b/>
          <w:bCs/>
        </w:rPr>
        <w:t xml:space="preserve">infrastructure</w:t>
      </w:r>
      <w:r>
        <w:t xml:space="preserve"> (in-region, hardened hosting).</w:t>
      </w:r>
    </w:p>
    <w:p>
      <w:pPr>
        <w:pStyle w:val="Heading1"/>
      </w:pPr>
      <w:r>
        <w:t xml:space="preserve">11. Roadmap to Certification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Phase 0–1 — Prototype &amp; measure.</w:t>
      </w:r>
      <w:r>
        <w:t xml:space="preserve"> Working end-to-end product; begin real accuracy measurement (face matching benchmarked; operational FMR pending data).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Phase 2 — Production hardening.</w:t>
      </w:r>
      <w:r>
        <w:t xml:space="preserve"> Encryption, cancelable templates, key management, authentication, session security, audit logging, consent/retention/deletion, dependency scanning — implemented. Remaining: in-region hosting, managed KMS, PostgreSQL hardening, backups/DR.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Phase 3 — Pre-certification readiness.</w:t>
      </w:r>
      <w:r>
        <w:t xml:space="preserve"> Controls-to-standards mapping, ISMS policies, and an internal gap assessment — drafted.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Phase 4 — Independent assessment.</w:t>
      </w:r>
      <w:r>
        <w:t xml:space="preserve"> ISO 30107-3 PAD lab, ISO 27001 / SOC 2, NIST IAL2 assessment, and a penetration test.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Phase 5 — Maintain.</w:t>
      </w:r>
      <w:r>
        <w:t xml:space="preserve"> Monitoring, periodic re-testing, and re-certification.</w:t>
      </w:r>
    </w:p>
    <w:p>
      <w:pPr>
        <w:pStyle w:val="Heading1"/>
      </w:pPr>
      <w:r>
        <w:t xml:space="preserve">12. Limitations &amp; Honest Status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Not certified.</w:t>
      </w:r>
      <w:r>
        <w:t xml:space="preserve"> No IAL2/ISO/SOC 2 assessment has been completed; alignment is self-assessed.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Accuracy unproven at the IAL2 bar.</w:t>
      </w:r>
      <w:r>
        <w:t xml:space="preserve"> The operational FMR/FRR on genuine pairs is not yet measured.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Public demo is sample-only.</w:t>
      </w:r>
      <w:r>
        <w:t xml:space="preserve"> Real identity documents must not be used on the hosted demo; real data requires in-region, hardened hosting.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Pretrained models.</w:t>
      </w:r>
      <w:r>
        <w:t xml:space="preserve"> Core models are open and pretrained; the priority is measurement and tuning, with optional anti-spoof fine-tuning.</w:t>
      </w:r>
    </w:p>
    <w:p>
      <w:pPr>
        <w:pStyle w:val="Heading1"/>
      </w:pPr>
      <w:r>
        <w:t xml:space="preserve">13. Conclusion</w:t>
      </w:r>
    </w:p>
    <w:p>
      <w:pPr>
        <w:spacing w:after="120" w:line="276"/>
      </w:pPr>
      <w:r>
        <w:t xml:space="preserve">Kyron demonstrates that a standards-aligned eKYC platform can be built with a rigorous security and privacy foundation and honest, evidence-backed governance. Every IAL2 requirement satisfiable in software is in place and tested. The path from here to a defensible IAL2 claim is a matter of data, two integrations, independent assessment, and hosting — decisions and investment rather than further feature development.</w:t>
      </w:r>
    </w:p>
    <w:p>
      <w:pPr>
        <w:pBdr>
          <w:top w:val="single" w:color="C9A12A" w:sz="6" w:space="6"/>
        </w:pBdr>
        <w:spacing w:before="240"/>
      </w:pPr>
      <w:r>
        <w:rPr>
          <w:i/>
          <w:iCs/>
          <w:color w:val="5A6478"/>
          <w:sz w:val="18"/>
          <w:szCs w:val="18"/>
        </w:rPr>
        <w:t xml:space="preserve">Supporting documents: controls-standards-mapping, IAL2 readiness brief, in-region hosting plan, dataset-collection plan, ISMS policy set (data-protection, DPIA, incident-response, gap assessment), and SECURITY.md.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2EF" w:sz="4" w:space="6"/>
      </w:pBdr>
      <w:jc w:val="center"/>
    </w:pPr>
    <w:r>
      <w:rPr>
        <w:color w:val="5A6478"/>
        <w:sz w:val="16"/>
        <w:szCs w:val="16"/>
      </w:rPr>
      <w:t xml:space="preserve">Kyron eKYC — White Paper (Draft)   ·   Page </w:t>
    </w:r>
    <w:r>
      <w:rPr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8"/>
        <w:sz w:val="16"/>
        <w:szCs w:val="16"/>
      </w:rPr>
      <w:t xml:space="preserve"> of </w:t>
    </w:r>
    <w:r>
      <w:rPr>
        <w:color w:val="5A64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2EF" w:sz="4" w:space="4"/>
      </w:pBdr>
      <w:spacing w:after="140" w:before="300"/>
      <w:outlineLvl w:val="0"/>
    </w:pPr>
    <w:rPr>
      <w:rFonts w:ascii="Arial" w:cs="Arial" w:eastAsia="Arial" w:hAnsi="Arial"/>
      <w:b/>
      <w:bCs/>
      <w:color w:val="0B1B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1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c01ae9aea7cd8a8fcf15f73e311fa1320f977d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Kyron eKYC White Paper (Draft)</dc:title>
  <dc:creator>Kyron project team</dc:creator>
  <cp:lastModifiedBy>Un-named</cp:lastModifiedBy>
  <cp:revision>1</cp:revision>
  <dcterms:created xsi:type="dcterms:W3CDTF">2026-07-06T04:19:12.510Z</dcterms:created>
  <dcterms:modified xsi:type="dcterms:W3CDTF">2026-07-06T04:19:12.514Z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