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FFDC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# 第一章 世界总体设计</w:t>
      </w:r>
    </w:p>
    <w:p w14:paraId="556E792E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A2BC6E3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## 1.1 世界核心定位与精神内核</w:t>
      </w:r>
    </w:p>
    <w:p w14:paraId="4C799887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FDD575F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日轮之冕，是我们精心构建的以人的创造性为核心，完全消除“日常工作”概念的，与科技、自然和谐共生的百万立方世界。无论是攻壳机动队机器人科技融入日常生活，抑或是与其他世界合作带来的“史莱姆”与复制机等等，都让科技与我们实现共生的同时，给予我们的创新创造更大的便利与自由度。</w:t>
      </w:r>
    </w:p>
    <w:p w14:paraId="196DB9AC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178AD2A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 **核心价值观**：“自由、共生、创新”（自由=空间与选择的自由，共生=人与科技、人与自然的和谐，创新=世界持续进化的动力）。</w:t>
      </w:r>
    </w:p>
    <w:p w14:paraId="2D97E825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 **发展愿景**：“让每个人都能在日轮之冕中，找到属于自己的生活方式与创造方式，科技服务于人，而不是定义人”。</w:t>
      </w:r>
    </w:p>
    <w:p w14:paraId="37B19CA6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3D3518A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4CEBEEAD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23050FF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## 1.2 地理选址与自然条件</w:t>
      </w:r>
    </w:p>
    <w:p w14:paraId="629FFA8F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E5C3B6F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日轮之冕选址于中国辽宁省大连市小平岛（ 38°49′28.62″N、121°29′39.67″E）。小平岛位于大连西南海岸，陆路与海路交通条件便利。</w:t>
      </w:r>
    </w:p>
    <w:p w14:paraId="2360D1FD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464A762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地形地貌上，小平岛为典型近海岛屿格局：三面临海，北侧背山，海岸线曲折、港湾自然，原生植被茂盛，拥有良好的自然生态基础。这种“依山面海”的地理结构，为未来海洋利用、港口设施建设、滨海居住与生态绿化提供了天然优势。</w:t>
      </w:r>
    </w:p>
    <w:p w14:paraId="34763797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63F5F4B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气候条件方面，小平岛所属的大连区域属暖温带大陆性季风气候，兼具海洋性影响。年平均气温约为 10 ℃–12 ℃ 左右，夏季温和，冬无极端严寒，年平均气温适宜居住。</w:t>
      </w:r>
    </w:p>
    <w:p w14:paraId="38378601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51CB253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年降水量集中在夏季，全年降水量约为 580–800 毫米；夏季降水集中在 6–8 月份，占全年降水的大部分。年日照充足，年均晴朗日照时数约 2,600 多小时。此气候兼顾温和、多雨、阳光充足，有利于农业、园艺、生态绿化与居民日常生活。</w:t>
      </w:r>
    </w:p>
    <w:p w14:paraId="78F1EB72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3E277B0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海洋与滨海资源丰富——小平岛作为沿海社区，以海岸、港湾、海洋资源闻名。其三面临海、靠山背海的地形，以及天然港湾与海域，使其具备渔业、海洋运输、海洋经济、滨海休闲等多种潜在用途。</w:t>
      </w:r>
    </w:p>
    <w:p w14:paraId="52167DC4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3E3B885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综合来看，小平岛兼具海洋资源、宜人气候、生态基础与交通区位优势，是极具优势的一个选择。它既适宜作为港口／海洋基地，也适合规划为生态居住区与资源利用中心。当然，鉴于沿海与港湾环境，未来规划中考虑了海岸防护、潮汐／海风／海洋气象影响、防洪防潮与生态保护等必要设计，以确保人类社会与自然环境的协调发展。</w:t>
      </w:r>
    </w:p>
    <w:p w14:paraId="122AAAE0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9E9FDB7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70B6FAA4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6BA6961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## 1.3 三大空间设计原则</w:t>
      </w:r>
    </w:p>
    <w:p w14:paraId="28697532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0C1D986" w14:textId="07EBB093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### 1.</w:t>
      </w:r>
      <w:r w:rsidR="008E1476">
        <w:rPr>
          <w:rFonts w:ascii="宋体" w:eastAsia="宋体" w:hAnsi="宋体" w:cs="宋体" w:hint="eastAsia"/>
          <w:kern w:val="0"/>
          <w:sz w:val="24"/>
          <w14:ligatures w14:val="none"/>
        </w:rPr>
        <w:t>3</w:t>
      </w:r>
      <w:r w:rsidR="00475DEA">
        <w:rPr>
          <w:rFonts w:ascii="宋体" w:eastAsia="宋体" w:hAnsi="宋体" w:cs="宋体" w:hint="eastAsia"/>
          <w:kern w:val="0"/>
          <w:sz w:val="24"/>
          <w14:ligatures w14:val="none"/>
        </w:rPr>
        <w:t>.</w:t>
      </w:r>
      <w:r w:rsidR="008E1476">
        <w:rPr>
          <w:rFonts w:ascii="宋体" w:eastAsia="宋体" w:hAnsi="宋体" w:cs="宋体" w:hint="eastAsia"/>
          <w:kern w:val="0"/>
          <w:sz w:val="24"/>
          <w14:ligatures w14:val="none"/>
        </w:rPr>
        <w:t>1</w:t>
      </w: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 以人为本的包容性原则：</w:t>
      </w:r>
    </w:p>
    <w:p w14:paraId="57C2EC21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BE990F7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以人自我对自由、多样、创造、高效等各方面的需求为导向，有针对性地设计空间，以满足不同年龄不同人群的具体需求。如：</w:t>
      </w:r>
    </w:p>
    <w:p w14:paraId="7A6B51E8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2322CFE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 **创造性需求**：可定制化的 Funshop 为不同年龄不同人群多元深入化创造提供独立空间，配备 Micro - LED /电子墨水双模显示层可视化科技，足不出户就能遨游天地，让人的创造力得到最大的激发；除此以外，任何与创造性有关的需求，在 Funshop 里都可以成为可能，无论是颠覆常规的艺术创作，还是突破想象的跨界设计，都能在这里找到生长的土壤。</w:t>
      </w:r>
    </w:p>
    <w:p w14:paraId="59F4BB8D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CCC01AB" w14:textId="4EFA4182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### </w:t>
      </w:r>
      <w:r w:rsidR="00475DEA">
        <w:rPr>
          <w:rFonts w:ascii="宋体" w:eastAsia="宋体" w:hAnsi="宋体" w:cs="宋体" w:hint="eastAsia"/>
          <w:kern w:val="0"/>
          <w:sz w:val="24"/>
          <w14:ligatures w14:val="none"/>
        </w:rPr>
        <w:t>1.3.</w:t>
      </w:r>
      <w:r w:rsidRPr="00936363">
        <w:rPr>
          <w:rFonts w:ascii="宋体" w:eastAsia="宋体" w:hAnsi="宋体" w:cs="宋体"/>
          <w:kern w:val="0"/>
          <w:sz w:val="24"/>
          <w14:ligatures w14:val="none"/>
        </w:rPr>
        <w:t>2 智慧化功能与美学的有机融合原则</w:t>
      </w:r>
    </w:p>
    <w:p w14:paraId="5968C7C0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3C3E74B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空间具备适应未来变化的灵活性，并集成智能技术，且平衡实用性与艺术性，在合理融合传统元素与新文化的前提下，结合新世界新技术以满足新世界新需求。</w:t>
      </w:r>
    </w:p>
    <w:p w14:paraId="2D8CFA38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468053F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 **数字孪生运维**：通过 AI 实时监控能源消耗、交通流量，动态调整空间功能。</w:t>
      </w:r>
    </w:p>
    <w:p w14:paraId="759DFFA0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 **美学技术化**：通过数字建模优化空间比例，如部分建筑采用 750mm×1500mm 大规格岩板减少拼接缝，提升美观与清洁效率。</w:t>
      </w:r>
    </w:p>
    <w:p w14:paraId="496490BD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21186FE" w14:textId="7DEA1A39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### </w:t>
      </w:r>
      <w:r w:rsidR="00475DEA">
        <w:rPr>
          <w:rFonts w:ascii="宋体" w:eastAsia="宋体" w:hAnsi="宋体" w:cs="宋体" w:hint="eastAsia"/>
          <w:kern w:val="0"/>
          <w:sz w:val="24"/>
          <w14:ligatures w14:val="none"/>
        </w:rPr>
        <w:t>1.3.</w:t>
      </w:r>
      <w:r w:rsidRPr="00936363">
        <w:rPr>
          <w:rFonts w:ascii="宋体" w:eastAsia="宋体" w:hAnsi="宋体" w:cs="宋体"/>
          <w:kern w:val="0"/>
          <w:sz w:val="24"/>
          <w14:ligatures w14:val="none"/>
        </w:rPr>
        <w:t>3 空间叙事与记忆承载原则</w:t>
      </w:r>
    </w:p>
    <w:p w14:paraId="65747A10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07BB611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空间不仅是功能的容器，更是故事的讲述者和集体记忆的载体。通过设计传递特定的叙事，能深刻影响空间使用者的情感与认知。</w:t>
      </w:r>
    </w:p>
    <w:p w14:paraId="6504867C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9A83ADB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 **雪王灯塔**，不止是地标，更是藏着社区共同记忆的暖心符号。从商业 IP 到文化地标，雪王灯塔点亮了邻里日常的每一份温暖。它以极具辨识度的雪王形象为核心视觉载体，凭借独树一帜的设计风格，已然跃升为区域内极具代表性的地标建筑。那憨态可掬的经典造型，不仅是品牌深入人心的视觉标识，更在时光流转中，沉淀为大众共享的文化记忆锚点。它伫立在城市的脉络之中，静静诉说着关于守护的坚定承诺，与关于分享的温暖故事。</w:t>
      </w:r>
    </w:p>
    <w:p w14:paraId="45E6CE68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2894685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276334E2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3F09067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## 1.4 建筑总体布局</w:t>
      </w:r>
    </w:p>
    <w:p w14:paraId="5EE09223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85336EF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lastRenderedPageBreak/>
        <w:t>根据日轮之冕西南向开口的月牙形地形，我们的建筑主要环绕月牙海湾进行分布。总体分为行政/军事区、居住区、农业区、工业区、绿地、道路六大板块。</w:t>
      </w:r>
    </w:p>
    <w:p w14:paraId="5B6F5014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86006A0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**工业区**：位于最北侧，由遵义院与天目院各 4 幢构成工业建筑群。  </w:t>
      </w:r>
    </w:p>
    <w:p w14:paraId="76EB0F86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**居住区**：位于东侧，由飘萍苑 3 幢，藕舫苑 2 幢，迪臣苑 2 幢，共 7 幢构成。  </w:t>
      </w:r>
    </w:p>
    <w:p w14:paraId="32BF7AFF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**行政/军事区**：居住区西侧为行政区的和同厅，建德院与启真院；南偏东方向为行政/军事区中的玉湖院与紫荆院。  </w:t>
      </w:r>
    </w:p>
    <w:p w14:paraId="76DE5117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**农业区**：云峰塔、蓝田塔与丹青塔分别分布在居住区的北侧、东侧与南侧。  </w:t>
      </w:r>
    </w:p>
    <w:p w14:paraId="49D9D1FF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**绿地**：大片绿地分散包围着整个日轮之冕，其余小块分散分布于城市间隙。  </w:t>
      </w:r>
    </w:p>
    <w:p w14:paraId="4459FA2E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**道路**：分布于各个建筑之间，串联各个建筑，同时有道路（3F）连接高层建筑。  </w:t>
      </w:r>
    </w:p>
    <w:p w14:paraId="4ADF88AF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 **其他**：雪王灯塔位于所有建筑南侧，成为我们世界的精神地标。（详见 1.3）</w:t>
      </w:r>
    </w:p>
    <w:p w14:paraId="7C8B7078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C66B611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5B635110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C29B712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## 1.5 能源、资源、社会三大系统的总体耦合结构</w:t>
      </w:r>
    </w:p>
    <w:p w14:paraId="3760E25D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AD8E5CD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能源、资源与社会治理三大系统由中央 AI 统一协调。其任务是稳定三大基础系统之间的耦合关系，使文明运行保持高效、可持续与透明。</w:t>
      </w:r>
    </w:p>
    <w:p w14:paraId="0DF49F0D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C866453" w14:textId="3D3222B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### </w:t>
      </w:r>
      <w:r w:rsidR="00475DEA">
        <w:rPr>
          <w:rFonts w:ascii="宋体" w:eastAsia="宋体" w:hAnsi="宋体" w:cs="宋体" w:hint="eastAsia"/>
          <w:kern w:val="0"/>
          <w:sz w:val="24"/>
          <w14:ligatures w14:val="none"/>
        </w:rPr>
        <w:t>1.5.</w:t>
      </w:r>
      <w:r w:rsidRPr="00936363">
        <w:rPr>
          <w:rFonts w:ascii="宋体" w:eastAsia="宋体" w:hAnsi="宋体" w:cs="宋体"/>
          <w:kern w:val="0"/>
          <w:sz w:val="24"/>
          <w14:ligatures w14:val="none"/>
        </w:rPr>
        <w:t>1 能源系统：以核能为核心</w:t>
      </w:r>
    </w:p>
    <w:p w14:paraId="4AC3C39B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333EA19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文明主要能源由核能设施提供，承担基荷与关键基础设施需求；原油与煤炭仅作为调峰、交通与特殊工业的辅助能源。AI 负责：</w:t>
      </w:r>
    </w:p>
    <w:p w14:paraId="09A8A44A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5B3713E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动态调度核能—油煤双结构，维持能源安全冗余；  </w:t>
      </w:r>
    </w:p>
    <w:p w14:paraId="700C2080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预测季节性负荷，优化能量流向；  </w:t>
      </w:r>
    </w:p>
    <w:p w14:paraId="1C47CB8F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 将多余能源转向海水淡化等长期战略项目。</w:t>
      </w:r>
    </w:p>
    <w:p w14:paraId="0958E693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2923CAA" w14:textId="1BDBA490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### </w:t>
      </w:r>
      <w:r w:rsidR="00475DEA">
        <w:rPr>
          <w:rFonts w:ascii="宋体" w:eastAsia="宋体" w:hAnsi="宋体" w:cs="宋体" w:hint="eastAsia"/>
          <w:kern w:val="0"/>
          <w:sz w:val="24"/>
          <w14:ligatures w14:val="none"/>
        </w:rPr>
        <w:t>1.5.</w:t>
      </w:r>
      <w:r w:rsidRPr="00936363">
        <w:rPr>
          <w:rFonts w:ascii="宋体" w:eastAsia="宋体" w:hAnsi="宋体" w:cs="宋体"/>
          <w:kern w:val="0"/>
          <w:sz w:val="24"/>
          <w14:ligatures w14:val="none"/>
        </w:rPr>
        <w:t>2 资源系统：公有制下的透明共享体系</w:t>
      </w:r>
    </w:p>
    <w:p w14:paraId="2F2E267E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887765C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自然资源（含土地、能源、矿产、水等）均实行公有制与统一数据库登记，由中央 AI 进行资源调节。核心机制包括：</w:t>
      </w:r>
    </w:p>
    <w:p w14:paraId="1FD45EF2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4B343F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按人口与需求动态分配基础资源；  </w:t>
      </w:r>
    </w:p>
    <w:p w14:paraId="2D200F8F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精准监测资源库存，预警潜在短缺；  </w:t>
      </w:r>
    </w:p>
    <w:p w14:paraId="42019D0B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 推动循环利用与材料回收，提高整体物质效率。</w:t>
      </w:r>
    </w:p>
    <w:p w14:paraId="52F27C65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B9B20E2" w14:textId="376883C2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### </w:t>
      </w:r>
      <w:r w:rsidR="00475DEA">
        <w:rPr>
          <w:rFonts w:ascii="宋体" w:eastAsia="宋体" w:hAnsi="宋体" w:cs="宋体" w:hint="eastAsia"/>
          <w:kern w:val="0"/>
          <w:sz w:val="24"/>
          <w14:ligatures w14:val="none"/>
        </w:rPr>
        <w:t>1.5.</w:t>
      </w:r>
      <w:r w:rsidRPr="00936363">
        <w:rPr>
          <w:rFonts w:ascii="宋体" w:eastAsia="宋体" w:hAnsi="宋体" w:cs="宋体"/>
          <w:kern w:val="0"/>
          <w:sz w:val="24"/>
          <w14:ligatures w14:val="none"/>
        </w:rPr>
        <w:t>3 社会系统：AI 代表人类的高效民主治理结构</w:t>
      </w:r>
    </w:p>
    <w:p w14:paraId="4949510C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CB71620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lastRenderedPageBreak/>
        <w:t>个人 AI 在与公民充分交互后，代表公民进行交流决策；中央 AI 承担信息收敛、透明化与执行监控角色。中央 AI 职责包括：</w:t>
      </w:r>
    </w:p>
    <w:p w14:paraId="36D87828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98668A8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将社会指标量化，向公众提供部分决策依据；  </w:t>
      </w:r>
    </w:p>
    <w:p w14:paraId="2469AB82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监督公投与选举过程，保证程序正义；  </w:t>
      </w:r>
    </w:p>
    <w:p w14:paraId="04E54FBB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 在紧急情况下提供政策模拟与影响评估。</w:t>
      </w:r>
    </w:p>
    <w:p w14:paraId="6C306091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6F59E41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社会治理因此在保持民主弹性的同时提升政策执行效率。</w:t>
      </w:r>
    </w:p>
    <w:p w14:paraId="67C4D597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42E19E" w14:textId="07A74773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### </w:t>
      </w:r>
      <w:r w:rsidR="00475DEA">
        <w:rPr>
          <w:rFonts w:ascii="宋体" w:eastAsia="宋体" w:hAnsi="宋体" w:cs="宋体" w:hint="eastAsia"/>
          <w:kern w:val="0"/>
          <w:sz w:val="24"/>
          <w14:ligatures w14:val="none"/>
        </w:rPr>
        <w:t>1.5.</w:t>
      </w:r>
      <w:r w:rsidRPr="00936363">
        <w:rPr>
          <w:rFonts w:ascii="宋体" w:eastAsia="宋体" w:hAnsi="宋体" w:cs="宋体"/>
          <w:kern w:val="0"/>
          <w:sz w:val="24"/>
          <w14:ligatures w14:val="none"/>
        </w:rPr>
        <w:t>4 三大系统的耦合机制</w:t>
      </w:r>
    </w:p>
    <w:p w14:paraId="71D6231E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F0E22FF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能源、资源与社会治理三者通过“火种”的中央协调实现闭环运行：</w:t>
      </w:r>
    </w:p>
    <w:p w14:paraId="1C615619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D30BF2B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能源稳定 → 资源加工更高效 → 社会运行可预测  </w:t>
      </w:r>
    </w:p>
    <w:p w14:paraId="3222B667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公共决策透明 → 资源分配有序 → 能源高效利用  </w:t>
      </w:r>
    </w:p>
    <w:p w14:paraId="78BC68D4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F0E7DEE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这种结构确保文明在高科技背景下保持秩序、韧性与可持续性，成为新世界发展的基础框架。</w:t>
      </w:r>
    </w:p>
    <w:p w14:paraId="1A02097A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B324417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326B1E18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26E3C3C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## 1.6 世界容量与个人世界底层逻辑：人口、机器人与 AI 算力</w:t>
      </w:r>
    </w:p>
    <w:p w14:paraId="6A09A881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F924D7C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**常住人口**：2,139 *2=4278 人  </w:t>
      </w:r>
    </w:p>
    <w:p w14:paraId="7AB341BF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**机器人总量**（用于完全替代劳动、含生产/物流/维护冗余）：≈5000 台机器人。  </w:t>
      </w:r>
    </w:p>
    <w:p w14:paraId="49EE22F7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 xml:space="preserve">- **专属小 AI 代理**：4278 个（每人 1 个，常在线运行）。  </w:t>
      </w:r>
    </w:p>
    <w:p w14:paraId="4FC02AD5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- **中央超级 AI 规模（等效）**：连续机房总耗电（含服务器、网络、内冷、基础设施 PUE 后）年耗电量（连续运行）：≈4.46 GWh / 年。</w:t>
      </w:r>
    </w:p>
    <w:p w14:paraId="1A3803B3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1F2A717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在攻壳机器人完全承担世界基础工作的前提下，我们的世界公民可彻底摆脱日常工作的束缚，转而追求属于自己的生活方式与创造方式。在此，如若担心决策的民主度，有“你→个人 AI，个人 AI 交互决策，个人 AI→你”的闭合民主决策链；如若兴之所至，产生不同寻常但却情理之中的需求，亦可向中央 AI 申请，得偿所愿。</w:t>
      </w:r>
    </w:p>
    <w:p w14:paraId="05011EFC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70E6651" w14:textId="77777777" w:rsidR="00936363" w:rsidRPr="00936363" w:rsidRDefault="00936363" w:rsidP="009363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363">
        <w:rPr>
          <w:rFonts w:ascii="宋体" w:eastAsia="宋体" w:hAnsi="宋体" w:cs="宋体"/>
          <w:kern w:val="0"/>
          <w:sz w:val="24"/>
          <w14:ligatures w14:val="none"/>
        </w:rPr>
        <w:t>总之，在我们世界，当温饱不再成为问题，“工作”已然消逝，属于你的创造之路已然开启，那么你想要思考的问题又是什么？你，又是否期待着与创造的那份邂逅？</w:t>
      </w:r>
    </w:p>
    <w:p w14:paraId="19C13178" w14:textId="77777777" w:rsidR="00F11729" w:rsidRPr="00936363" w:rsidRDefault="00F11729">
      <w:pPr>
        <w:rPr>
          <w:rFonts w:hint="eastAsia"/>
        </w:rPr>
      </w:pPr>
    </w:p>
    <w:sectPr w:rsidR="00F11729" w:rsidRPr="009363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68AC"/>
    <w:multiLevelType w:val="multilevel"/>
    <w:tmpl w:val="BF00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13C36"/>
    <w:multiLevelType w:val="multilevel"/>
    <w:tmpl w:val="693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554F0"/>
    <w:multiLevelType w:val="multilevel"/>
    <w:tmpl w:val="75F8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C3791"/>
    <w:multiLevelType w:val="multilevel"/>
    <w:tmpl w:val="D6AE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80E98"/>
    <w:multiLevelType w:val="multilevel"/>
    <w:tmpl w:val="35C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42A9E"/>
    <w:multiLevelType w:val="multilevel"/>
    <w:tmpl w:val="564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51AFC"/>
    <w:multiLevelType w:val="multilevel"/>
    <w:tmpl w:val="FB4A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16311"/>
    <w:multiLevelType w:val="multilevel"/>
    <w:tmpl w:val="7EEA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8145C"/>
    <w:multiLevelType w:val="multilevel"/>
    <w:tmpl w:val="74A2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37FF3"/>
    <w:multiLevelType w:val="multilevel"/>
    <w:tmpl w:val="9E9A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884177">
    <w:abstractNumId w:val="8"/>
  </w:num>
  <w:num w:numId="2" w16cid:durableId="1978602527">
    <w:abstractNumId w:val="9"/>
  </w:num>
  <w:num w:numId="3" w16cid:durableId="1131367205">
    <w:abstractNumId w:val="2"/>
  </w:num>
  <w:num w:numId="4" w16cid:durableId="820079651">
    <w:abstractNumId w:val="0"/>
  </w:num>
  <w:num w:numId="5" w16cid:durableId="285619197">
    <w:abstractNumId w:val="5"/>
  </w:num>
  <w:num w:numId="6" w16cid:durableId="167987353">
    <w:abstractNumId w:val="1"/>
  </w:num>
  <w:num w:numId="7" w16cid:durableId="852690328">
    <w:abstractNumId w:val="6"/>
  </w:num>
  <w:num w:numId="8" w16cid:durableId="1818453823">
    <w:abstractNumId w:val="4"/>
  </w:num>
  <w:num w:numId="9" w16cid:durableId="792089991">
    <w:abstractNumId w:val="3"/>
  </w:num>
  <w:num w:numId="10" w16cid:durableId="1719227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63"/>
    <w:rsid w:val="00113857"/>
    <w:rsid w:val="00475DEA"/>
    <w:rsid w:val="008E1476"/>
    <w:rsid w:val="00936363"/>
    <w:rsid w:val="00C440D7"/>
    <w:rsid w:val="00D7585F"/>
    <w:rsid w:val="00F1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AD9D"/>
  <w15:chartTrackingRefBased/>
  <w15:docId w15:val="{1CF8EDCC-ACE6-4E3D-8291-C3AA137C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3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3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3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3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3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3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3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3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3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6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6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63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63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63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63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63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63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63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6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3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63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6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63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63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63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6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63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6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弈卓 王</dc:creator>
  <cp:keywords/>
  <dc:description/>
  <cp:lastModifiedBy>弈卓 王</cp:lastModifiedBy>
  <cp:revision>4</cp:revision>
  <dcterms:created xsi:type="dcterms:W3CDTF">2026-01-04T03:50:00Z</dcterms:created>
  <dcterms:modified xsi:type="dcterms:W3CDTF">2026-01-04T03:55:00Z</dcterms:modified>
</cp:coreProperties>
</file>