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7018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 4 城市整体结构与功能分区</w:t>
      </w:r>
    </w:p>
    <w:p w14:paraId="444FFDFE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BCFD8BB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 4.1 住宅区</w:t>
      </w:r>
    </w:p>
    <w:p w14:paraId="7FBA678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D21BD72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位于月牙形海湾东侧，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由飘萍苑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3幢，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藕舫苑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2幢，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迪臣苑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2幢三个建筑群组成，共7幢单体建筑，单个建筑9-10层，设计容量4500人，由单/双人间及3/4人家庭房户型组成,数量视具体需求情况而定，各建筑群的差异化设计和功能分区可满足不同人群的需求。居住区中设有洗衣房、游戏室、KTV、会议室、阅览室、中央厨房等配套设施，其中包括多项室外运动设施，如标准足球场、篮球场、羽毛球场、网球场等多功能训练场地。</w:t>
      </w:r>
    </w:p>
    <w:p w14:paraId="026D826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E2F6D0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3C774CD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7CB98AA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 4.2 农业与食品系统</w:t>
      </w:r>
    </w:p>
    <w:p w14:paraId="68AC935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F9C50EF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农业区由蓝田塔、云峰塔、丹青塔三座复合式农业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塔以及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丹青塔一侧的水产养殖区组成，通过温湿度调节为不同类型的作物创造适宜生长条件，以契合居民饮食的多样性需求。</w:t>
      </w:r>
    </w:p>
    <w:p w14:paraId="6AD9B7BD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D6AC27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中央厨房位于天目2幢，恰好位于农业区云峰塔，工业区与住宅区三区交界处，便于各类产品的高效运输。</w:t>
      </w:r>
    </w:p>
    <w:p w14:paraId="43B37CB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7C358E2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7C35B3F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346BB3D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 4.3 工业区与核心制造设施</w:t>
      </w:r>
    </w:p>
    <w:p w14:paraId="3B89F43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669DE42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工业区位于城市北端，由天目院、遵义院两个建筑群组成，每个建筑群包含四座单体厂房，厂房间互相联通。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天目院以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食品加工、海水蒸馏和轻工业为主，遵义院则以重工业为主。遵义院4幢处有民用港口，可供石油运输船和贸易船只停靠来往。</w:t>
      </w:r>
    </w:p>
    <w:p w14:paraId="1680576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4A4F01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569A8F1F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271750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 4.4 科研与实验设施</w:t>
      </w:r>
    </w:p>
    <w:p w14:paraId="55A33C13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2447706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科研与实验设施集中设置于城市北侧遵义院、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天目院建筑群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内，其中遵义院3幢与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天目院4幢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为专用科研建筑。该区域承担百万立方世界的核心技术研发、实验验证与工程转化职能，重点覆盖人工智能、能源系统、材料科学、生命科学与环境工程等方向。</w:t>
      </w:r>
    </w:p>
    <w:p w14:paraId="4797150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A0E33C4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建筑内部采用模块化、可重构实验单元设计，可根据研究任务快速调整空间布局与安全等级；关键实验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区具备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独立的环境控制、能耗隔离与应急封闭能力。科研设施由中央超级AI“文明火种”统一调度，实现实验资源分配、数据管理与风险监控的一体化运行，为城市长期技术演进提供持续支撑。</w:t>
      </w:r>
    </w:p>
    <w:p w14:paraId="5DE49C9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65894D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2F52CE3A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6BE63E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 4.5 军事区</w:t>
      </w:r>
    </w:p>
    <w:p w14:paraId="210B972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4B2347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 区位与总体定位</w:t>
      </w:r>
    </w:p>
    <w:p w14:paraId="5392B043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D80D2AE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军事区“玉湖院”位于城市南端日之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舆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公园地下，整体采取深埋式、分层化、模块化布局，与城市公共空间完全解耦，对地表景观与居民生活零干扰。军事区以“平战一体、军民两用、以防为主”为基本原则，所有军事力量在和平时期均作为高等级工作机器人系统，承担港口运维、海洋工程、灾害救援、基础设施建设与安保巡检等任务；在进入战备状态时，可在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分钟级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完成指挥权限切换与功能重构，转化为防御与作战力量。</w:t>
      </w:r>
    </w:p>
    <w:p w14:paraId="121F3CF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372D52D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 4.5.1 军种构成与职责划分</w:t>
      </w:r>
    </w:p>
    <w:p w14:paraId="77690C7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40F36E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军事力量采用高度集成、智能化、以防御与威慑为核心的军种体系。</w:t>
      </w:r>
    </w:p>
    <w:p w14:paraId="26B8F18A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016FD86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**海军（核心军种）**</w:t>
      </w:r>
    </w:p>
    <w:p w14:paraId="2D08AE9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11F619A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定位：近海防御、港口安全、海上通道控制、海洋工程保障。</w:t>
      </w:r>
    </w:p>
    <w:p w14:paraId="6BF01CFF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5954A7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组成：  </w:t>
      </w:r>
    </w:p>
    <w:p w14:paraId="7B576DF4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无人水面舰艇（USV）：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日常用于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巡航、测绘、海况监测，战时执行警戒、拦截与护航；  </w:t>
      </w:r>
    </w:p>
    <w:p w14:paraId="64223408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无人潜航器（UUV）：平时进行海底管线维护、生态监测，战时承担水下侦察与反制；  </w:t>
      </w:r>
    </w:p>
    <w:p w14:paraId="0F3303A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多用途护航舰（低可探测特征）：以模块化武装与传感器为核心，可在救援、科研与作战模式间切换。</w:t>
      </w:r>
    </w:p>
    <w:p w14:paraId="331F0078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761D24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**火箭军（战略威慑）**</w:t>
      </w:r>
    </w:p>
    <w:p w14:paraId="0ECD1A6E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D7BB49E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定位：区域拒止、关键目标防护与战略威慑，强调“存在即威慑”。</w:t>
      </w:r>
    </w:p>
    <w:p w14:paraId="3DCCF64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B0FE1F8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特点：  </w:t>
      </w:r>
    </w:p>
    <w:p w14:paraId="2B5CD67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以地下井、移动发射平台与隐蔽式垂直发射系统为主；  </w:t>
      </w:r>
    </w:p>
    <w:p w14:paraId="239B5D88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平时系统处于低功率维护与演算状态，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战时由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超级AI统一授权启用；  </w:t>
      </w:r>
    </w:p>
    <w:p w14:paraId="1A5FF1E4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主要承担反舰、反登陆与远程精确打击任务，而非大规模攻击。</w:t>
      </w:r>
    </w:p>
    <w:p w14:paraId="6DCF763E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AF80E2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**空天防御与无人航空军（复合军种）**</w:t>
      </w:r>
    </w:p>
    <w:p w14:paraId="2942C728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1DF01BB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定位：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低空—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近地空间防御、情报侦察与快速响应。</w:t>
      </w:r>
    </w:p>
    <w:p w14:paraId="63521F4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085BC8E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组成：  </w:t>
      </w:r>
    </w:p>
    <w:p w14:paraId="059F906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无人机群：平时用于物流、巡检与环境监测，战时形成蜂群防空与侦察网络；  </w:t>
      </w:r>
    </w:p>
    <w:p w14:paraId="557423E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反无人系统：电子压制、定向能拦截与物理捕获装置；  </w:t>
      </w:r>
    </w:p>
    <w:p w14:paraId="63911B6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预留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近空间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平台接口（高空气球/伪卫星），用于通信与广域感知。</w:t>
      </w:r>
    </w:p>
    <w:p w14:paraId="50D4D56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00C6103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**信息与网络战部队（隐形军种）**</w:t>
      </w:r>
    </w:p>
    <w:p w14:paraId="45F25C3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DC8D00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定位：系统级防御核心，优先级高于任何实体作战力量。</w:t>
      </w:r>
    </w:p>
    <w:p w14:paraId="1BE13D7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AFEC1A3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职责：  </w:t>
      </w:r>
    </w:p>
    <w:p w14:paraId="0A575CCA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保障“文明火种级”超级AI与城市中枢系统安全；  </w:t>
      </w:r>
    </w:p>
    <w:p w14:paraId="548F6B4D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网络攻防、电子战、数据完整性与算法安全防护；  </w:t>
      </w:r>
    </w:p>
    <w:p w14:paraId="1D14527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战时可对外部敌对系统实施瘫痪、误导与隔离。</w:t>
      </w:r>
    </w:p>
    <w:p w14:paraId="2FACBC3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0BD055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**工程与保障军（平战转换军种）**</w:t>
      </w:r>
    </w:p>
    <w:p w14:paraId="3E82840B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0105EA2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定位：确保城市在任何状态下持续运行。</w:t>
      </w:r>
    </w:p>
    <w:p w14:paraId="7F0B2F02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B176ED6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功能：  </w:t>
      </w:r>
    </w:p>
    <w:p w14:paraId="7D04058B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平时作为大型工程、维修、能源与港口机器人；  </w:t>
      </w:r>
    </w:p>
    <w:p w14:paraId="1E55A4CD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战时承担阵地构筑、设施快速修复、战损评估与应急重建。</w:t>
      </w:r>
    </w:p>
    <w:p w14:paraId="56A01753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6ABB69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 4.5.2 军用港口与船坞系统</w:t>
      </w:r>
    </w:p>
    <w:p w14:paraId="1488F78F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58DD29B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军事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区靠内一侧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设置军用港口与船坞，采用全封闭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地下—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半地下复合结构：  </w:t>
      </w:r>
    </w:p>
    <w:p w14:paraId="0CD5843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船坞具备快速排水、隐蔽维护与模块化改装能力；  </w:t>
      </w:r>
    </w:p>
    <w:p w14:paraId="763DE7C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港口水道与民用港口完全分离，但在灾害状态下可临时接管民用疏散与救援任务；  </w:t>
      </w:r>
    </w:p>
    <w:p w14:paraId="3FF1A72B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所有舰艇均支持“任务模块即插即用”，实现科研、救援、巡防与作战的快速切换。</w:t>
      </w:r>
    </w:p>
    <w:p w14:paraId="34A6E96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255B50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 4.5.3 指挥体系与权限机制</w:t>
      </w:r>
    </w:p>
    <w:p w14:paraId="2D0F348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B5FB8A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军事区不设传统意义上的“军官—士兵”结构，而采用三级权限体系：  </w:t>
      </w:r>
    </w:p>
    <w:p w14:paraId="623AB3D4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超级AI战略层：负责全局判断、威胁评估与最终授权；  </w:t>
      </w:r>
    </w:p>
    <w:p w14:paraId="0111C6D4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人类监督委员会：由精选居民代表组成，仅在重大决策节点介入；  </w:t>
      </w:r>
    </w:p>
    <w:p w14:paraId="22055B54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机器人战术层：自主执行已授权任务，具备高度协同与自我修复能力。</w:t>
      </w:r>
    </w:p>
    <w:p w14:paraId="428D74B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7C3759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308339F6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55361DE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 4.6 公共服务与文化设施</w:t>
      </w:r>
    </w:p>
    <w:p w14:paraId="5ADE50C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DCD8E94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 道路系统</w:t>
      </w:r>
    </w:p>
    <w:p w14:paraId="71E384A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064E00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lastRenderedPageBreak/>
        <w:t>城市道路由1层地面道路和3层快速道路系统组成，在各交叉口均设置电梯以便快速上下。城市快速道路结构主要由4条环线（平澜大道、怀祖大道、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靖宁大道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、玉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穹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大道）及若干条放射状道路（海纳大道等）组成，平澜大道在经过丹青塔后下降，转入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玉湖院和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紫荆院。城市地面道路在各建筑间均设有。</w:t>
      </w:r>
    </w:p>
    <w:p w14:paraId="78F3FD0E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33FF3FA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### </w:t>
      </w:r>
      <w:proofErr w:type="spellStart"/>
      <w:r w:rsidRPr="002E30FB">
        <w:rPr>
          <w:rFonts w:ascii="宋体" w:eastAsia="宋体" w:hAnsi="宋体" w:cs="宋体"/>
          <w:kern w:val="0"/>
          <w:sz w:val="24"/>
          <w14:ligatures w14:val="none"/>
        </w:rPr>
        <w:t>Funshop</w:t>
      </w:r>
      <w:proofErr w:type="spellEnd"/>
      <w:r w:rsidRPr="002E30FB">
        <w:rPr>
          <w:rFonts w:ascii="宋体" w:eastAsia="宋体" w:hAnsi="宋体" w:cs="宋体"/>
          <w:kern w:val="0"/>
          <w:sz w:val="24"/>
          <w14:ligatures w14:val="none"/>
        </w:rPr>
        <w:t>（创造单元）</w:t>
      </w:r>
    </w:p>
    <w:p w14:paraId="077F9B42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573F9D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日轮之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冕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配备单人间高配置 </w:t>
      </w:r>
      <w:proofErr w:type="spellStart"/>
      <w:r w:rsidRPr="002E30FB">
        <w:rPr>
          <w:rFonts w:ascii="宋体" w:eastAsia="宋体" w:hAnsi="宋体" w:cs="宋体"/>
          <w:kern w:val="0"/>
          <w:sz w:val="24"/>
          <w14:ligatures w14:val="none"/>
        </w:rPr>
        <w:t>Funshop</w:t>
      </w:r>
      <w:proofErr w:type="spellEnd"/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，作为个人创造力与精神自由的重要承载空间，是百万立方世界核心人文设计之一。每个 </w:t>
      </w:r>
      <w:proofErr w:type="spellStart"/>
      <w:r w:rsidRPr="002E30FB">
        <w:rPr>
          <w:rFonts w:ascii="宋体" w:eastAsia="宋体" w:hAnsi="宋体" w:cs="宋体"/>
          <w:kern w:val="0"/>
          <w:sz w:val="24"/>
          <w14:ligatures w14:val="none"/>
        </w:rPr>
        <w:t>Funshop</w:t>
      </w:r>
      <w:proofErr w:type="spellEnd"/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 为完全独立的私密单元，强调“一人一域、自主创造”，避免干扰与同质化。</w:t>
      </w:r>
    </w:p>
    <w:p w14:paraId="0D454052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4C143A2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2E30FB">
        <w:rPr>
          <w:rFonts w:ascii="宋体" w:eastAsia="宋体" w:hAnsi="宋体" w:cs="宋体"/>
          <w:kern w:val="0"/>
          <w:sz w:val="24"/>
          <w14:ligatures w14:val="none"/>
        </w:rPr>
        <w:t>Funshop</w:t>
      </w:r>
      <w:proofErr w:type="spellEnd"/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 内部集成多功能创作系统，包括：  </w:t>
      </w:r>
    </w:p>
    <w:p w14:paraId="754C806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数字创造模块：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高算力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终端、沉浸式 AR/VR/MR 环境，用于艺术设计、虚拟构建与概念推演；  </w:t>
      </w:r>
    </w:p>
    <w:p w14:paraId="12E603F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实体制作模块：微型加工、3D 打印与材料实验设备，需求可通过申请快速满足，支持从想法到实物的快速实现；  </w:t>
      </w:r>
    </w:p>
    <w:p w14:paraId="1D332F5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感官与心理调节模块：配备Micro - LED /电子墨水双模显示层可视化科技，足不出户就能遨游天地，让人的创造力得到最大的激发。可调光声场与触感反馈系统，帮助进入专注或放松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的心流状态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。  </w:t>
      </w:r>
    </w:p>
    <w:p w14:paraId="4FAAF152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所有 </w:t>
      </w:r>
      <w:proofErr w:type="spellStart"/>
      <w:r w:rsidRPr="002E30FB">
        <w:rPr>
          <w:rFonts w:ascii="宋体" w:eastAsia="宋体" w:hAnsi="宋体" w:cs="宋体"/>
          <w:kern w:val="0"/>
          <w:sz w:val="24"/>
          <w14:ligatures w14:val="none"/>
        </w:rPr>
        <w:t>Funshop</w:t>
      </w:r>
      <w:proofErr w:type="spellEnd"/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 由AI进行被动支持而非主导干预，仅在安全、资源调配与技术辅助层面介入，确保创造过程完全属于个体本身。该系统旨在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在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高度秩序化的未来社会中，持续保留人类独立思考、非功利创造与精神表达的空间。</w:t>
      </w:r>
    </w:p>
    <w:p w14:paraId="6BF8A7C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D49B16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 教育、文艺工作</w:t>
      </w:r>
    </w:p>
    <w:p w14:paraId="4F28492F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78C7ED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位于建德院2层，涵盖教学研讨、艺术实践两大功能区，为素养培育与创意表达提供空间。</w:t>
      </w:r>
    </w:p>
    <w:p w14:paraId="43EA039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398DF1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1AB385BF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41EA4AF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 4.7 医疗中心与健康系统</w:t>
      </w:r>
    </w:p>
    <w:p w14:paraId="56A0C58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0C6EB43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 4.7.1 中央医院</w:t>
      </w:r>
    </w:p>
    <w:p w14:paraId="1A3C690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A95AC13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中央医院位于建德院1层。结合本世界千万立方协议及复制机、史莱姆医疗相关效用等，本世界可高效利用少量空间建设出满足人群医疗需求的医院。</w:t>
      </w:r>
    </w:p>
    <w:p w14:paraId="7AF724C6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64AB1E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同时，医院的建设也通过 高效模块化 + 智能化 + 精简／高频服务 + 灵活备用区,可满足以下需求：  </w:t>
      </w:r>
    </w:p>
    <w:p w14:paraId="2A9782A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日常门诊 /体检 /慢性病管理 /基础诊断 —— 通过门诊 + 诊断 / 实验室 + 药房模块处理；  </w:t>
      </w:r>
    </w:p>
    <w:p w14:paraId="117CCA4B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急性病 / 急救 /创伤 /意外事故 —— 急诊 +急救 +诊断 + 手术 + 监护模块；  </w:t>
      </w:r>
    </w:p>
    <w:p w14:paraId="7B694F7F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手术治疗 / 重症 /监护 /术后恢复 —— 手术室 + 麻醉／复苏 + ICU / 监护 + 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观察区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 + 支援系统；  </w:t>
      </w:r>
    </w:p>
    <w:p w14:paraId="121BBA7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应对突发大规模需求（如事故、多伤、传染病／疫情／灾害） —— 通过备用区 + 模块化布局 + 灵活重构 + 智能调度 + 后勤支援。  </w:t>
      </w:r>
    </w:p>
    <w:p w14:paraId="4CCC4BE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医疗质量、洁净、安全、效率、舒适度 —— 通过现代设计标准 + 智能系统 + 流线清晰 + 服务模块完整实现。</w:t>
      </w:r>
    </w:p>
    <w:p w14:paraId="5488C85D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E7B83C2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此外，医疗空间紧凑，可大幅减少垂直交通（电梯／楼梯）需求，降低通行复杂性，也确保所有重要模块彼此靠近、响应快速。</w:t>
      </w:r>
    </w:p>
    <w:p w14:paraId="037A798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C93FD0B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 4.7.2 社区基础医疗站</w:t>
      </w:r>
    </w:p>
    <w:p w14:paraId="245F44C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5DF099E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建立社区基础医疗站，配备基础医疗设备、急救药品、急救包、担架、急救中转方案，在社区出现医疗紧急情况时能够快速响应。</w:t>
      </w:r>
    </w:p>
    <w:p w14:paraId="0880E57E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3F0C64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56F256E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9FD752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 4.8 应急系统（灾害、社会安全、医疗应急）</w:t>
      </w:r>
    </w:p>
    <w:p w14:paraId="7B831AD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FA9E8F2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为了应对社区可能的海洋灾害、社会安全事故及医疗紧急事件，建立多个组织结构与预警机制，通过各组织结构间的分工与AI合理调配实现应急系统的高效运作，保护公民的人身安全与社会稳定</w:t>
      </w:r>
    </w:p>
    <w:p w14:paraId="645A7E54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EAD447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 （1）组织结构与职责分工</w:t>
      </w:r>
    </w:p>
    <w:p w14:paraId="58277A6B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D902CEA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#### 1. 职能单位</w:t>
      </w:r>
    </w:p>
    <w:p w14:paraId="1F18093E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827494A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包括：  </w:t>
      </w:r>
    </w:p>
    <w:p w14:paraId="16339DD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预警与监测组：负责海洋／地震监测、预警接收与发布。  </w:t>
      </w:r>
    </w:p>
    <w:p w14:paraId="5539E6D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疏散与撤离组：负责规划疏散路线、标识避难地、组织居民有序撤离。  </w:t>
      </w:r>
    </w:p>
    <w:p w14:paraId="29599B6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医疗救护组：负责灾害／事故中的紧急救治与医疗后勤。  </w:t>
      </w:r>
    </w:p>
    <w:p w14:paraId="6DAA807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后勤与保障组：负责物资储备、救援物资分配、安置避难居民、恢复基础设施。  </w:t>
      </w:r>
    </w:p>
    <w:p w14:paraId="410F908D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社会稳定与治安组：当社会安全或秩序混乱（例如恐慌、骚乱、事故）时介入维持秩序与安全。</w:t>
      </w:r>
    </w:p>
    <w:p w14:paraId="0D294EF6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4C6EFC3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#### 2. 联动机制</w:t>
      </w:r>
    </w:p>
    <w:p w14:paraId="5EE8CEC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4507D7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中央AI及各职能组 24 小时值班，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确保第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一时间响应。  </w:t>
      </w:r>
    </w:p>
    <w:p w14:paraId="3EE9C5F3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建立并保持一个最新的救援资源与物资清单。</w:t>
      </w:r>
    </w:p>
    <w:p w14:paraId="295BC9F4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15F64D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 （2）灾害（尤其海啸）应急系统</w:t>
      </w:r>
    </w:p>
    <w:p w14:paraId="03AC65B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7C726FA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#### 1. 预防、监测与预警</w:t>
      </w:r>
    </w:p>
    <w:p w14:paraId="7E2F043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CC158B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加入海啸预警机制，通过多个百万立方防灾网络快速精准预防海啸：  </w:t>
      </w:r>
    </w:p>
    <w:p w14:paraId="5075613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o建设接入监测系统（海底地震监测、海平面／潮汐监测、海啸传感器等）。  </w:t>
      </w:r>
    </w:p>
    <w:p w14:paraId="4220254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o制作基于地形与海洋风险的“海啸淹没区”和“安全避难区”图，同时社区内部制订“疏散图与撤离路线图”。</w:t>
      </w:r>
    </w:p>
    <w:p w14:paraId="6642A62D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5EDEB9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#### 2. 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紧急响应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与撤离</w:t>
      </w:r>
    </w:p>
    <w:p w14:paraId="337387CD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22D80B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一旦接收到官方预警，或居民发现自然信号时，应立即响应，启动撤离机制。  </w:t>
      </w:r>
    </w:p>
    <w:p w14:paraId="56AEC923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按照疏散图指示方向迅速前往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避难区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或内陆高地／社区规划的安全避难所。  </w:t>
      </w:r>
    </w:p>
    <w:p w14:paraId="0A671E7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疏散时，有现场指挥人员（机器人）引导并维持秩序。确保老年人、儿童等行动不便者优先撤离。</w:t>
      </w:r>
    </w:p>
    <w:p w14:paraId="310820B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FDB8E0E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#### 3. 救援、救护与后勤保障</w:t>
      </w:r>
    </w:p>
    <w:p w14:paraId="44E581CF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3B1AA0E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现场指挥部与AI协同协调救援队伍、志愿者、医疗救护组、后勤组展开救援。  </w:t>
      </w:r>
    </w:p>
    <w:p w14:paraId="41D5BC58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启动通讯与信息保障系统，确保在基础设施受损的情况下，仍能维持无线或机动通信。  </w:t>
      </w:r>
    </w:p>
    <w:p w14:paraId="3FA74CF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调配应急物资，为疏散居民提供临时庇护和基本生活支持。</w:t>
      </w:r>
    </w:p>
    <w:p w14:paraId="10408722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68CF04E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#### 4. 灾后恢复与善后处置</w:t>
      </w:r>
    </w:p>
    <w:p w14:paraId="37EBA8B8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6B46026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对受灾区域进行损害评估，统计人员伤亡、房屋与基础设施损毁等情况。  </w:t>
      </w:r>
    </w:p>
    <w:p w14:paraId="30D992AF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制定并实施救助、补偿、安置、医疗与心理援助、基础设施抢修／重建、社区恢复计划。类似很多城市自然灾害应急方案中的“善后处置”部分。  </w:t>
      </w:r>
    </w:p>
    <w:p w14:paraId="25DD073D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加强社区韧性（resilience）：根据灾后教训，完善基础设施、防灾规划、公众教育与应急能力。建议参考社区韧性研究与评估方法，以持续改进。</w:t>
      </w:r>
    </w:p>
    <w:p w14:paraId="2B6B6376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1D3777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 （3）社会安全与医疗应急系统</w:t>
      </w:r>
    </w:p>
    <w:p w14:paraId="389AE2A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8F5F304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除了自然灾害，社区还必须应对可能的社会安全事故与医疗紧急状况。</w:t>
      </w:r>
    </w:p>
    <w:p w14:paraId="7E78ABD4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664D9E0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#### 1. 社会安全应急</w:t>
      </w:r>
    </w:p>
    <w:p w14:paraId="16075BF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35EDFE1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建立“社会安全预警与响应机制” —— 监测社会风险（如公共安全事件、事故、突发公共秩序问题等）。制定安全预案、应急通讯与报告机制。  </w:t>
      </w:r>
    </w:p>
    <w:p w14:paraId="59BF7E79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明确职责与流程 —— 当出现治安、骚乱、公共安全事故时，治安组负责维稳、疏散／隔离、保护弱势群体、协助医疗与救援。</w:t>
      </w:r>
    </w:p>
    <w:p w14:paraId="2263C99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9397354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#### 2. 医疗应急系统</w:t>
      </w:r>
    </w:p>
    <w:p w14:paraId="5C0A56AC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3ABF9AD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建立社区基础医疗站以及医疗中心的急救中心，配备基础医疗设备、急救药品、急救包、担架、担急救中转方案。  </w:t>
      </w:r>
    </w:p>
    <w:p w14:paraId="4796189F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制定紧急医疗响应程序：灾害或事故发生时，由医疗救护组迅速出动，进行急救、伤病分类、转运、现场治疗与救援。确保与医疗中心的联动与转诊机制。对灾后可能出现基础设施损毁，可考虑备用交通方式和机动救护。  </w:t>
      </w:r>
    </w:p>
    <w:p w14:paraId="643B5D22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建立公共卫生应急措施（例如灾害后的饮水安全、卫生设施、临时住所管理、防疫与传染病防控等）。</w:t>
      </w:r>
    </w:p>
    <w:p w14:paraId="5470C53B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4B4726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 （4）应急资源与物资储备</w:t>
      </w:r>
    </w:p>
    <w:p w14:paraId="33F520B2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DF426BA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为了应对可能的灾害与突发事件，应提前储备必要资源和物资：  </w:t>
      </w:r>
    </w:p>
    <w:p w14:paraId="7A7E942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食品与饮用水（足够应对至少灾后若干天）  </w:t>
      </w:r>
    </w:p>
    <w:p w14:paraId="650642D4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基本药品、急救包、担架、急救工具  </w:t>
      </w:r>
    </w:p>
    <w:p w14:paraId="3C3EB4BB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暂时避难所：帐篷／临时住房设施、床位、基础生活设施（厕所、洗浴／清洁设施）  </w:t>
      </w:r>
    </w:p>
    <w:p w14:paraId="4CA82B1F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通信设备与备用电源／电池 /无线对讲机／卫星／手机／广播设备等  </w:t>
      </w:r>
    </w:p>
    <w:p w14:paraId="6A8B1F26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救援／搬运工具，交通工具或备用交通方案（尤其是如果道路被毁坏）  </w:t>
      </w:r>
    </w:p>
    <w:p w14:paraId="7636DB4E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灾后重建与维修设备／材料  </w:t>
      </w:r>
    </w:p>
    <w:p w14:paraId="31882BC2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 w:hint="eastAsia"/>
          <w:kern w:val="0"/>
          <w:sz w:val="24"/>
          <w14:ligatures w14:val="none"/>
        </w:rPr>
        <w:sym w:font="Symbol" w:char="F0B7"/>
      </w:r>
      <w:r w:rsidRPr="002E30FB">
        <w:rPr>
          <w:rFonts w:ascii="宋体" w:eastAsia="宋体" w:hAnsi="宋体" w:cs="宋体"/>
          <w:kern w:val="0"/>
          <w:sz w:val="24"/>
          <w14:ligatures w14:val="none"/>
        </w:rPr>
        <w:t>定期检查物资有效性与完好性。</w:t>
      </w:r>
    </w:p>
    <w:p w14:paraId="50038505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212FEF6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### （5）系统实施与持续改进</w:t>
      </w:r>
    </w:p>
    <w:p w14:paraId="1DCBFDA8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5CEEB27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1. 制定书面正式应急预案，覆盖所有上述内容 —— 组织结构、职责、流程、资源、疏散路线、避难所位置、联系机制、通讯机制、物资管理、演练计划等。  </w:t>
      </w:r>
    </w:p>
    <w:p w14:paraId="5E1FF7D4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 xml:space="preserve">2. 定期评估与风险普查 —— 对社区海洋灾害风险、地形／地势变化、海平面变化、基础设施、人口分布等进行调查与评估，及时更新应急预案。类似于“海洋自然灾害综合风险普查／区划”。  </w:t>
      </w:r>
    </w:p>
    <w:p w14:paraId="0B7376DB" w14:textId="77777777" w:rsidR="002E30FB" w:rsidRPr="002E30FB" w:rsidRDefault="002E30FB" w:rsidP="002E3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30FB">
        <w:rPr>
          <w:rFonts w:ascii="宋体" w:eastAsia="宋体" w:hAnsi="宋体" w:cs="宋体"/>
          <w:kern w:val="0"/>
          <w:sz w:val="24"/>
          <w14:ligatures w14:val="none"/>
        </w:rPr>
        <w:t>3. 演练与培训机制常态化 — 每年至少一次社区级别演练 + 随机抽查 + 志愿者培训 + 医疗急救培训 + 更新疏散图与避难所信息。定期开展海啸危险意识教育和宣传，让社区居民了解自然信号（如地震、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水突然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退潮或高潮、海面异常变化、大海打出巨大轰鸣声等）可能意味着海啸来临。每户</w:t>
      </w:r>
      <w:proofErr w:type="gramStart"/>
      <w:r w:rsidRPr="002E30FB">
        <w:rPr>
          <w:rFonts w:ascii="宋体" w:eastAsia="宋体" w:hAnsi="宋体" w:cs="宋体"/>
          <w:kern w:val="0"/>
          <w:sz w:val="24"/>
          <w14:ligatures w14:val="none"/>
        </w:rPr>
        <w:t>设家庭</w:t>
      </w:r>
      <w:proofErr w:type="gramEnd"/>
      <w:r w:rsidRPr="002E30FB">
        <w:rPr>
          <w:rFonts w:ascii="宋体" w:eastAsia="宋体" w:hAnsi="宋体" w:cs="宋体"/>
          <w:kern w:val="0"/>
          <w:sz w:val="24"/>
          <w14:ligatures w14:val="none"/>
        </w:rPr>
        <w:t>应急计划，包括联系人、集合点、疏散路线、紧急物资准备等（例如水／食物／药品／急救包／手电筒等）。</w:t>
      </w:r>
    </w:p>
    <w:p w14:paraId="030DA141" w14:textId="77777777" w:rsidR="00F11729" w:rsidRPr="002E30FB" w:rsidRDefault="00F11729">
      <w:pPr>
        <w:rPr>
          <w:rFonts w:hint="eastAsia"/>
        </w:rPr>
      </w:pPr>
    </w:p>
    <w:sectPr w:rsidR="00F11729" w:rsidRPr="002E30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FB"/>
    <w:rsid w:val="00113857"/>
    <w:rsid w:val="002E30FB"/>
    <w:rsid w:val="00C440D7"/>
    <w:rsid w:val="00F1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8FD3D"/>
  <w15:chartTrackingRefBased/>
  <w15:docId w15:val="{AADD039C-42F7-4EEC-8D1C-287ADF0C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30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0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0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0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0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0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0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0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30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3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3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30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30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30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30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30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30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30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3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0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30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30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0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0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30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3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弈卓 王</dc:creator>
  <cp:keywords/>
  <dc:description/>
  <cp:lastModifiedBy>弈卓 王</cp:lastModifiedBy>
  <cp:revision>2</cp:revision>
  <dcterms:created xsi:type="dcterms:W3CDTF">2026-01-04T03:50:00Z</dcterms:created>
  <dcterms:modified xsi:type="dcterms:W3CDTF">2026-01-04T03:50:00Z</dcterms:modified>
</cp:coreProperties>
</file>