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305F" w14:textId="77777777" w:rsidR="003D2747" w:rsidRDefault="00000000">
      <w:pPr>
        <w:pStyle w:val="1"/>
        <w:jc w:val="center"/>
      </w:pPr>
      <w:r>
        <w:rPr>
          <w:rFonts w:hint="eastAsia"/>
        </w:rPr>
        <w:t>第十四章：未来展望</w:t>
      </w:r>
    </w:p>
    <w:p w14:paraId="3063E450" w14:textId="77777777" w:rsidR="003D2747" w:rsidRDefault="00000000">
      <w:pPr>
        <w:ind w:firstLineChars="200" w:firstLine="420"/>
      </w:pPr>
      <w:r>
        <w:rPr>
          <w:rFonts w:hint="eastAsia"/>
        </w:rPr>
        <w:t>我们站在一个非凡的历史节点上。一个由</w:t>
      </w:r>
      <w:r>
        <w:rPr>
          <w:rFonts w:hint="eastAsia"/>
        </w:rPr>
        <w:t>2000</w:t>
      </w:r>
      <w:r>
        <w:rPr>
          <w:rFonts w:hint="eastAsia"/>
        </w:rPr>
        <w:t>位成员组成的、高度发达的文明已经在一个崭新的、与地球生态相似的行星上铸就。我们不仅解决了生存的挑战，更构建了一个以中央分配制为基础、中央大</w:t>
      </w:r>
      <w:r>
        <w:rPr>
          <w:rFonts w:hint="eastAsia"/>
        </w:rPr>
        <w:t>AI</w:t>
      </w:r>
      <w:r>
        <w:rPr>
          <w:rFonts w:hint="eastAsia"/>
        </w:rPr>
        <w:t>与个人小</w:t>
      </w:r>
      <w:r>
        <w:rPr>
          <w:rFonts w:hint="eastAsia"/>
        </w:rPr>
        <w:t>AI</w:t>
      </w:r>
      <w:r>
        <w:rPr>
          <w:rFonts w:hint="eastAsia"/>
        </w:rPr>
        <w:t>协同的独特治理模型。我们清晰地预见了未来百年的路径：人口将温和地增长至</w:t>
      </w:r>
      <w:r>
        <w:rPr>
          <w:rFonts w:hint="eastAsia"/>
        </w:rPr>
        <w:t>4000</w:t>
      </w:r>
      <w:r>
        <w:rPr>
          <w:rFonts w:hint="eastAsia"/>
        </w:rPr>
        <w:t>人，并在此后达到动态平衡。技术上的圣杯——攻壳风格“完全顺从机器人群”技术，将在百年后完全实现。这一切，并非为了无休止的扩张，而是为了一个更崇高的目标：在这片全新的自然画布上，实现人类文明与本土生态系统的终极共生，并在此前提下，追求科技与精神的无限升华。</w:t>
      </w:r>
    </w:p>
    <w:p w14:paraId="67F6AF1B" w14:textId="77777777" w:rsidR="00167919" w:rsidRDefault="00167919">
      <w:pPr>
        <w:ind w:firstLineChars="200" w:firstLine="420"/>
      </w:pPr>
    </w:p>
    <w:p w14:paraId="6F672AA6" w14:textId="23568D86" w:rsidR="00167919" w:rsidRPr="00167919" w:rsidRDefault="00167919" w:rsidP="00167919">
      <w:pPr>
        <w:spacing w:after="160" w:line="278" w:lineRule="auto"/>
        <w:jc w:val="left"/>
        <w:rPr>
          <w:rFonts w:ascii="等线" w:eastAsia="等线" w:hAnsi="等线" w:cs="Times New Roman" w:hint="eastAsia"/>
          <w:b/>
          <w:bCs/>
          <w:color w:val="EE0000"/>
          <w:sz w:val="22"/>
          <w14:ligatures w14:val="standardContextual"/>
        </w:rPr>
      </w:pPr>
      <w:r w:rsidRPr="00167919">
        <w:rPr>
          <w:rFonts w:ascii="等线" w:eastAsia="等线" w:hAnsi="等线" w:cs="Times New Roman" w:hint="eastAsia"/>
          <w:b/>
          <w:bCs/>
          <w:color w:val="EE0000"/>
          <w:sz w:val="22"/>
          <w14:ligatures w14:val="standardContextual"/>
        </w:rPr>
        <w:t>写的很</w:t>
      </w:r>
      <w:r>
        <w:rPr>
          <w:rFonts w:ascii="等线" w:eastAsia="等线" w:hAnsi="等线" w:cs="Times New Roman" w:hint="eastAsia"/>
          <w:b/>
          <w:bCs/>
          <w:color w:val="EE0000"/>
          <w:sz w:val="22"/>
          <w14:ligatures w14:val="standardContextual"/>
        </w:rPr>
        <w:t>好，</w:t>
      </w:r>
      <w:r w:rsidRPr="00167919">
        <w:rPr>
          <w:rFonts w:ascii="等线" w:eastAsia="等线" w:hAnsi="等线" w:cs="Times New Roman" w:hint="eastAsia"/>
          <w:b/>
          <w:bCs/>
          <w:color w:val="EE0000"/>
          <w:sz w:val="22"/>
          <w14:ligatures w14:val="standardContextual"/>
        </w:rPr>
        <w:t>可以</w:t>
      </w:r>
      <w:r>
        <w:rPr>
          <w:rFonts w:ascii="等线" w:eastAsia="等线" w:hAnsi="等线" w:cs="Times New Roman" w:hint="eastAsia"/>
          <w:b/>
          <w:bCs/>
          <w:color w:val="EE0000"/>
          <w:sz w:val="22"/>
          <w14:ligatures w14:val="standardContextual"/>
        </w:rPr>
        <w:t>略微</w:t>
      </w:r>
      <w:r w:rsidRPr="00167919">
        <w:rPr>
          <w:rFonts w:ascii="等线" w:eastAsia="等线" w:hAnsi="等线" w:cs="Times New Roman" w:hint="eastAsia"/>
          <w:b/>
          <w:bCs/>
          <w:color w:val="EE0000"/>
          <w:sz w:val="22"/>
          <w14:ligatures w14:val="standardContextual"/>
        </w:rPr>
        <w:t>优化：</w:t>
      </w:r>
    </w:p>
    <w:p w14:paraId="7F120328" w14:textId="5D000C80" w:rsidR="00167919" w:rsidRPr="00167919" w:rsidRDefault="00167919" w:rsidP="00167919">
      <w:pPr>
        <w:widowControl/>
        <w:numPr>
          <w:ilvl w:val="0"/>
          <w:numId w:val="1"/>
        </w:numPr>
        <w:spacing w:after="160" w:line="252" w:lineRule="auto"/>
        <w:jc w:val="left"/>
        <w:rPr>
          <w:rFonts w:ascii="等线" w:eastAsia="等线" w:hAnsi="等线" w:cs="Times New Roman" w:hint="eastAsia"/>
          <w:color w:val="EE0000"/>
          <w:sz w:val="22"/>
          <w14:ligatures w14:val="standardContextual"/>
        </w:rPr>
      </w:pPr>
      <w:r>
        <w:rPr>
          <w:rFonts w:ascii="等线" w:eastAsia="等线" w:hAnsi="等线" w:cs="Times New Roman" w:hint="eastAsia"/>
          <w:color w:val="EE0000"/>
          <w:sz w:val="22"/>
          <w14:ligatures w14:val="standardContextual"/>
        </w:rPr>
        <w:t>篇幅缩短，3-6页</w:t>
      </w:r>
      <w:r w:rsidRPr="00167919">
        <w:rPr>
          <w:rFonts w:ascii="等线" w:eastAsia="等线" w:hAnsi="等线" w:cs="Times New Roman" w:hint="eastAsia"/>
          <w:color w:val="EE0000"/>
          <w:sz w:val="22"/>
          <w14:ligatures w14:val="standardContextual"/>
        </w:rPr>
        <w:t>左右足矣</w:t>
      </w:r>
    </w:p>
    <w:p w14:paraId="21E93766" w14:textId="45BFA81E" w:rsidR="00167919" w:rsidRPr="00167919" w:rsidRDefault="00167919" w:rsidP="00167919">
      <w:pPr>
        <w:widowControl/>
        <w:numPr>
          <w:ilvl w:val="0"/>
          <w:numId w:val="1"/>
        </w:numPr>
        <w:spacing w:after="160" w:line="252" w:lineRule="auto"/>
        <w:jc w:val="left"/>
        <w:rPr>
          <w:rFonts w:ascii="等线" w:eastAsia="等线" w:hAnsi="等线" w:cs="Times New Roman" w:hint="eastAsia"/>
          <w:color w:val="EE0000"/>
          <w:sz w:val="22"/>
          <w14:ligatures w14:val="standardContextual"/>
        </w:rPr>
      </w:pPr>
      <w:r w:rsidRPr="00167919">
        <w:rPr>
          <w:rFonts w:ascii="等线" w:eastAsia="等线" w:hAnsi="等线" w:cs="Times New Roman" w:hint="eastAsia"/>
          <w:color w:val="EE0000"/>
          <w:sz w:val="22"/>
          <w14:ligatures w14:val="standardContextual"/>
        </w:rPr>
        <w:t>重点</w:t>
      </w:r>
      <w:r>
        <w:rPr>
          <w:rFonts w:ascii="等线" w:eastAsia="等线" w:hAnsi="等线" w:cs="Times New Roman" w:hint="eastAsia"/>
          <w:color w:val="EE0000"/>
          <w:sz w:val="22"/>
          <w14:ligatures w14:val="standardContextual"/>
        </w:rPr>
        <w:t>可以再</w:t>
      </w:r>
      <w:r w:rsidRPr="00167919">
        <w:rPr>
          <w:rFonts w:ascii="等线" w:eastAsia="等线" w:hAnsi="等线" w:cs="Times New Roman" w:hint="eastAsia"/>
          <w:color w:val="EE0000"/>
          <w:sz w:val="22"/>
          <w14:ligatures w14:val="standardContextual"/>
        </w:rPr>
        <w:t>突出，觉得没必要写的板块可以直接删掉</w:t>
      </w:r>
      <w:r>
        <w:rPr>
          <w:rFonts w:ascii="等线" w:eastAsia="等线" w:hAnsi="等线" w:cs="Times New Roman" w:hint="eastAsia"/>
          <w:color w:val="EE0000"/>
          <w:sz w:val="22"/>
          <w14:ligatures w14:val="standardContextual"/>
        </w:rPr>
        <w:t>，自由发挥</w:t>
      </w:r>
    </w:p>
    <w:p w14:paraId="4EC0EEEC" w14:textId="77777777" w:rsidR="00167919" w:rsidRDefault="00167919">
      <w:pPr>
        <w:ind w:firstLineChars="200" w:firstLine="420"/>
        <w:rPr>
          <w:rFonts w:hint="eastAsia"/>
        </w:rPr>
      </w:pPr>
    </w:p>
    <w:p w14:paraId="6C568676" w14:textId="77777777" w:rsidR="003D2747" w:rsidRDefault="00000000">
      <w:pPr>
        <w:pStyle w:val="3"/>
      </w:pPr>
      <w:r>
        <w:rPr>
          <w:rFonts w:hint="eastAsia"/>
        </w:rPr>
        <w:t>14.1</w:t>
      </w:r>
      <w:r>
        <w:rPr>
          <w:rFonts w:hint="eastAsia"/>
        </w:rPr>
        <w:t>百年过渡期：精密调谐的黄金世纪</w:t>
      </w:r>
    </w:p>
    <w:p w14:paraId="76D3B809" w14:textId="77777777" w:rsidR="003D2747" w:rsidRDefault="00000000">
      <w:pPr>
        <w:ind w:firstLineChars="200" w:firstLine="420"/>
      </w:pPr>
      <w:r>
        <w:rPr>
          <w:rFonts w:hint="eastAsia"/>
        </w:rPr>
        <w:t>接下来的</w:t>
      </w:r>
      <w:r>
        <w:rPr>
          <w:rFonts w:hint="eastAsia"/>
        </w:rPr>
        <w:t>100</w:t>
      </w:r>
      <w:r>
        <w:rPr>
          <w:rFonts w:hint="eastAsia"/>
        </w:rPr>
        <w:t>年，是我们文明发展的关键建设阶段。这一阶段的核心特征是通过系统性规划和精准实施，实现人口、技术与环境三大系统的协同发展，为未来稳态社会奠定坚实基础。</w:t>
      </w:r>
    </w:p>
    <w:p w14:paraId="680C879C" w14:textId="77777777" w:rsidR="003D2747" w:rsidRDefault="003D2747">
      <w:pPr>
        <w:ind w:firstLineChars="200" w:firstLine="420"/>
      </w:pPr>
    </w:p>
    <w:p w14:paraId="5B2BFD0A" w14:textId="77777777" w:rsidR="003D2747" w:rsidRDefault="00000000">
      <w:r>
        <w:rPr>
          <w:rFonts w:hint="eastAsia"/>
          <w:b/>
          <w:bCs/>
        </w:rPr>
        <w:t>1</w:t>
      </w:r>
      <w:r>
        <w:rPr>
          <w:rFonts w:hint="eastAsia"/>
          <w:b/>
          <w:bCs/>
        </w:rPr>
        <w:t>、人口与社会的结构化发展：编织更坚韧的社会纤维</w:t>
      </w:r>
    </w:p>
    <w:p w14:paraId="0920B251" w14:textId="77777777" w:rsidR="003D2747" w:rsidRDefault="00000000">
      <w:pPr>
        <w:ind w:firstLineChars="200" w:firstLine="420"/>
      </w:pPr>
      <w:r>
        <w:rPr>
          <w:rFonts w:hint="eastAsia"/>
        </w:rPr>
        <w:t>人口从</w:t>
      </w:r>
      <w:r>
        <w:rPr>
          <w:rFonts w:hint="eastAsia"/>
        </w:rPr>
        <w:t>2000</w:t>
      </w:r>
      <w:r>
        <w:rPr>
          <w:rFonts w:hint="eastAsia"/>
        </w:rPr>
        <w:t>人增长至</w:t>
      </w:r>
      <w:r>
        <w:rPr>
          <w:rFonts w:hint="eastAsia"/>
        </w:rPr>
        <w:t>4000</w:t>
      </w:r>
      <w:r>
        <w:rPr>
          <w:rFonts w:hint="eastAsia"/>
        </w:rPr>
        <w:t>人，是一个关乎文明未来形态的系统性工程。这一倍增过程并非简单的数量叠加，而是社会结构的一次深度优化与重构。为确保这一进程的平稳与高效，我们依托于覆盖全员的个人小</w:t>
      </w:r>
      <w:r>
        <w:rPr>
          <w:rFonts w:hint="eastAsia"/>
        </w:rPr>
        <w:t>AI</w:t>
      </w:r>
      <w:r>
        <w:rPr>
          <w:rFonts w:hint="eastAsia"/>
        </w:rPr>
        <w:t>系统，建立了一套精密的人口发展规划与执行体系。</w:t>
      </w:r>
    </w:p>
    <w:p w14:paraId="76DD4C8D" w14:textId="77777777" w:rsidR="003D2747" w:rsidRDefault="00000000">
      <w:pPr>
        <w:ind w:firstLineChars="200" w:firstLine="420"/>
      </w:pPr>
      <w:r>
        <w:rPr>
          <w:rFonts w:hint="eastAsia"/>
        </w:rPr>
        <w:t>个人小</w:t>
      </w:r>
      <w:r>
        <w:rPr>
          <w:rFonts w:hint="eastAsia"/>
        </w:rPr>
        <w:t>AI</w:t>
      </w:r>
      <w:r>
        <w:rPr>
          <w:rFonts w:hint="eastAsia"/>
        </w:rPr>
        <w:t>充当着“终身发展规划师”的角色，它基于对个体从早期教育到职业发展全周期的持续评估，深度分析其天赋潜能、认知特质与兴趣偏好。同时，中央大</w:t>
      </w:r>
      <w:r>
        <w:rPr>
          <w:rFonts w:hint="eastAsia"/>
        </w:rPr>
        <w:t>AI</w:t>
      </w:r>
      <w:r>
        <w:rPr>
          <w:rFonts w:hint="eastAsia"/>
        </w:rPr>
        <w:t>则实时整合并预测整个社会在下一个</w:t>
      </w:r>
      <w:r>
        <w:rPr>
          <w:rFonts w:hint="eastAsia"/>
        </w:rPr>
        <w:t>50-100</w:t>
      </w:r>
      <w:r>
        <w:rPr>
          <w:rFonts w:hint="eastAsia"/>
        </w:rPr>
        <w:t>年尺度上，对各类专业技能、知识结构和创新领域的需求动态。通过这两者的协同，我们能够为每一位社会成员，尤其是在其成长关键期，提供高度个性化的培养路径与发展建议，确保其潜能开发与社会长远需求实现前瞻性匹配。</w:t>
      </w:r>
    </w:p>
    <w:p w14:paraId="3F85CDDB" w14:textId="77777777" w:rsidR="003D2747" w:rsidRDefault="00000000">
      <w:pPr>
        <w:ind w:firstLineChars="200" w:firstLine="420"/>
      </w:pPr>
      <w:r>
        <w:rPr>
          <w:rFonts w:hint="eastAsia"/>
        </w:rPr>
        <w:t>这一精准匹配机制直接服务于社会结构的优化。通过对人口增长节奏、技能分布和年龄结构的主动规划，我们能够有效避免特定领域的人才短缺或过剩，维持社会人力资源的动态平衡。例如，当系统预见到未来数十年对生态工程与地热能源领域专家的需求将显著上升时，便可以引导更多有相关潜质的年轻成员向这些领域发展，并提前配置相应的教育与实训资源。</w:t>
      </w:r>
    </w:p>
    <w:p w14:paraId="310F04C9" w14:textId="77777777" w:rsidR="003D2747" w:rsidRDefault="00000000">
      <w:pPr>
        <w:ind w:firstLineChars="200" w:firstLine="420"/>
      </w:pPr>
      <w:r>
        <w:rPr>
          <w:rFonts w:hint="eastAsia"/>
        </w:rPr>
        <w:t>这一系统化管理的目标是实现“人尽其才”与“社会高效”的统一。每一位新成员都能在明确的个人发展路径中找到归属感与使命感，而整个社会则能获得持续、稳定且结构合理的人力资源供给。这为接下来社区的网络化布局与功能分化，奠定了坚实的人口与社会结构基础。</w:t>
      </w:r>
    </w:p>
    <w:p w14:paraId="7B2102E4" w14:textId="77777777" w:rsidR="003D2747" w:rsidRDefault="00000000">
      <w:r>
        <w:rPr>
          <w:rFonts w:hint="eastAsia"/>
          <w:b/>
          <w:bCs/>
        </w:rPr>
        <w:t>2</w:t>
      </w:r>
      <w:r>
        <w:rPr>
          <w:rFonts w:hint="eastAsia"/>
          <w:b/>
          <w:bCs/>
        </w:rPr>
        <w:t>、技术体系的系统性建设：构建文明的自动化基石</w:t>
      </w:r>
    </w:p>
    <w:p w14:paraId="36CBAFE8" w14:textId="77777777" w:rsidR="003D2747" w:rsidRDefault="00000000">
      <w:pPr>
        <w:ind w:firstLineChars="200" w:firstLine="420"/>
      </w:pPr>
      <w:r>
        <w:rPr>
          <w:rFonts w:hint="eastAsia"/>
        </w:rPr>
        <w:lastRenderedPageBreak/>
        <w:t>这一时期将完成机器人技术体系的全面构建。我们首先在各专业领域部署功能特定的机器人系统，实现基础劳动的自动化。在此基础上，推动机这一时期将完成机器人技术从专业工具到社会基石的全面演进。这一进程遵循明确的技术路线图，通过阶段性突破，最终形成深度融入社会运行各环节的机器人支持体系。</w:t>
      </w:r>
    </w:p>
    <w:p w14:paraId="79C24C1B" w14:textId="77777777" w:rsidR="003D2747" w:rsidRDefault="00000000">
      <w:pPr>
        <w:ind w:firstLineChars="200" w:firstLine="420"/>
      </w:pPr>
      <w:r>
        <w:rPr>
          <w:rFonts w:hint="eastAsia"/>
        </w:rPr>
        <w:t>首先，我们将会启动“专业机器人先行部署”计划。在此阶段，我们将在医疗护理、生态农业、基础设施建设与维护等关键领域，批量部署功能专一、性能可靠的专业机器人。这些机器人由各社区的研发单元根据实际需求独立或协作开发，旨在精准解决特定行业的劳动需求问题，将人类成员从重复性、高强度或危险性的基础劳动中系统性解放出来，为社会的专业化分工和效率提升奠定坚实的自动化基础。</w:t>
      </w:r>
    </w:p>
    <w:p w14:paraId="19129B28" w14:textId="77777777" w:rsidR="003D2747" w:rsidRDefault="00000000">
      <w:pPr>
        <w:ind w:firstLineChars="200" w:firstLine="420"/>
      </w:pPr>
      <w:r>
        <w:rPr>
          <w:rFonts w:hint="eastAsia"/>
        </w:rPr>
        <w:t>其次，我们将致力于推动“机器人通用化与协同化”发展。</w:t>
      </w:r>
      <w:r>
        <w:rPr>
          <w:rFonts w:hint="eastAsia"/>
        </w:rPr>
        <w:t xml:space="preserve"> </w:t>
      </w:r>
      <w:r>
        <w:rPr>
          <w:rFonts w:hint="eastAsia"/>
        </w:rPr>
        <w:t>在专业机器人广泛应用的基础上，我们由中央技术委员会牵头，制定并推行统一的机器人模块化硬件接口标准与群体智能交互协议。此举旨在打破不同领域、不同社区研发的机器人之间的技术壁垒，使其能够共享数据、交换能源与功能模块，并在中央调度</w:t>
      </w:r>
      <w:r>
        <w:rPr>
          <w:rFonts w:hint="eastAsia"/>
        </w:rPr>
        <w:t>AI</w:t>
      </w:r>
      <w:r>
        <w:rPr>
          <w:rFonts w:hint="eastAsia"/>
        </w:rPr>
        <w:t>的指挥下，为完成复杂任务进行临时的功能重组与群体协作。这标志着机器人从各自为战的工具，向可灵活配置的“社会劳动力资源”转变。</w:t>
      </w:r>
    </w:p>
    <w:p w14:paraId="387FF8A2" w14:textId="77777777" w:rsidR="003D2747" w:rsidRDefault="00000000">
      <w:pPr>
        <w:ind w:firstLineChars="200" w:firstLine="420"/>
      </w:pPr>
      <w:r>
        <w:rPr>
          <w:rFonts w:hint="eastAsia"/>
        </w:rPr>
        <w:t>最终，我们的目标是实现攻壳风格“完全顺从机器人群”的技术集成。在百年期末，我们将打通所有技术环节，形成一个高度智能、绝对服从、并能通过自主配置以应对任何物理任务的机器人集群。这个集群不再被视作独立工具，而是如同水、电、网络一样，成为社会无处不在、按需调用的基础支持层。它们能理解自然语言指令，自主拆解任务，并通过动态组合成最合适的形态来执行，从微观手术到宏观工程建设，为文明的存续与发展提供全面、可靠且无形的技术支持。</w:t>
      </w:r>
    </w:p>
    <w:p w14:paraId="193AEF42" w14:textId="77777777" w:rsidR="003D2747" w:rsidRDefault="00000000">
      <w:r>
        <w:rPr>
          <w:rFonts w:hint="eastAsia"/>
          <w:b/>
          <w:bCs/>
        </w:rPr>
        <w:t>3</w:t>
      </w:r>
      <w:r>
        <w:rPr>
          <w:rFonts w:hint="eastAsia"/>
          <w:b/>
          <w:bCs/>
        </w:rPr>
        <w:t>、生态共生的基础夯实：实施针对性的行星修复工程</w:t>
      </w:r>
    </w:p>
    <w:p w14:paraId="29EA8B80" w14:textId="77777777" w:rsidR="003D2747" w:rsidRDefault="00000000">
      <w:pPr>
        <w:ind w:firstLineChars="200" w:firstLine="420"/>
      </w:pPr>
      <w:r>
        <w:rPr>
          <w:rFonts w:hint="eastAsia"/>
        </w:rPr>
        <w:t>在能源使用方面，我们将会建立完整的核能管理及循环利用体系。这一体系的确立，旨在确保过渡期内能源供应的稳定可靠，同时最大限度降低核能利用对环境造成的长期影响。</w:t>
      </w:r>
    </w:p>
    <w:p w14:paraId="57C777F9" w14:textId="77777777" w:rsidR="003D2747" w:rsidRDefault="00000000">
      <w:pPr>
        <w:ind w:firstLineChars="200" w:firstLine="420"/>
      </w:pPr>
      <w:r>
        <w:rPr>
          <w:rFonts w:hint="eastAsia"/>
        </w:rPr>
        <w:t>实施“分级核废料处理与永久封存”方案。该方案由三个关键技术环节构成：第一，通过先进的后处理技术，对核废料中的可利用核素进行提取和循环利用；第二，对剩余的高放废料进行玻璃固化处理，将其转变为稳定的化学形态；第三，利用重型工程机器人将固化后的核废料运送至地下</w:t>
      </w:r>
      <w:r>
        <w:rPr>
          <w:rFonts w:hint="eastAsia"/>
        </w:rPr>
        <w:t>500</w:t>
      </w:r>
      <w:r>
        <w:rPr>
          <w:rFonts w:hint="eastAsia"/>
        </w:rPr>
        <w:t>米以下的专用地质封存库，这些封存库选址于地质结构稳定的花岗岩层中，配备多层防护屏障和实时监测系统，确保废料与生物圈永久隔离。</w:t>
      </w:r>
    </w:p>
    <w:p w14:paraId="6C0219ED" w14:textId="77777777" w:rsidR="003D2747" w:rsidRDefault="00000000">
      <w:pPr>
        <w:ind w:firstLineChars="200" w:firstLine="420"/>
      </w:pPr>
      <w:r>
        <w:rPr>
          <w:rFonts w:hint="eastAsia"/>
        </w:rPr>
        <w:t>构建“全域工业余热回收网络”。这一系统通过遍布各社区及工业区的热力管道，收集核电站及主要工业设施产生的余热。收集的热能通过高效换热装置传输至区域能源中心，经过温度提升和品质优化后，按需分配至不同用途：高温热量优先用于社区供暖和工业生产；中温热量驱动吸收式制冷系统，为科研设施提供冷却；低温热量则用于农业温室的保温及生活热水的供应。</w:t>
      </w:r>
    </w:p>
    <w:p w14:paraId="6EC0124C" w14:textId="77777777" w:rsidR="003D2747" w:rsidRDefault="00000000">
      <w:pPr>
        <w:ind w:firstLineChars="200" w:firstLine="420"/>
      </w:pPr>
      <w:r>
        <w:rPr>
          <w:rFonts w:hint="eastAsia"/>
        </w:rPr>
        <w:t>建立“能源—环境协同管理”机制。通过中央能源管理系统对核能生产、废料处理和热能利用进行全过程监控和优化调度，确保能源供应与需求的精准匹配。同时，该系统实时评估能源活动对环境的影响，动态调整运行参数，实现能源效率最大化与环境影响最小化的双重目标。</w:t>
      </w:r>
    </w:p>
    <w:p w14:paraId="1FEBE2BF" w14:textId="77777777" w:rsidR="003D2747" w:rsidRDefault="00000000">
      <w:pPr>
        <w:ind w:firstLineChars="200" w:firstLine="420"/>
      </w:pPr>
      <w:r>
        <w:rPr>
          <w:rFonts w:hint="eastAsia"/>
        </w:rPr>
        <w:t>在生态修复方面，我们建立了一套基于先进技术的综合治理体系，重点解决核能时期遗留的环境问题并维护生态平衡。</w:t>
      </w:r>
    </w:p>
    <w:p w14:paraId="318E0E58" w14:textId="77777777" w:rsidR="003D2747" w:rsidRDefault="00000000">
      <w:pPr>
        <w:ind w:firstLineChars="200" w:firstLine="420"/>
      </w:pPr>
      <w:r>
        <w:rPr>
          <w:rFonts w:hint="eastAsia"/>
        </w:rPr>
        <w:t>针对土壤污染治理，我们开发了系列特种微生物及超富集植物。这些经过基因编辑的微生物能够分解有机污染物，而特定的超富集植物则通过根系高效吸收土壤中的重金属及放射性核素。在收获后，这些生物质将被安全处理，实现污染物的永久清除。</w:t>
      </w:r>
    </w:p>
    <w:p w14:paraId="230AB84B" w14:textId="77777777" w:rsidR="003D2747" w:rsidRDefault="00000000">
      <w:pPr>
        <w:ind w:firstLineChars="200" w:firstLine="420"/>
      </w:pPr>
      <w:r>
        <w:rPr>
          <w:rFonts w:hint="eastAsia"/>
        </w:rPr>
        <w:t>在水体净化领域，我们部署了功能化的纳米机器人集群。这些微型机器人具备自主导航</w:t>
      </w:r>
      <w:r>
        <w:rPr>
          <w:rFonts w:hint="eastAsia"/>
        </w:rPr>
        <w:lastRenderedPageBreak/>
        <w:t>与靶向吸附能力，可精准去除水中的微量污染物，包括重金属离子和有机化合物。完成任务后，机器人通过磁回收或自沉淀方式离开水体，实现水质的快速恢复与长期保持。</w:t>
      </w:r>
    </w:p>
    <w:p w14:paraId="2FF9C79A" w14:textId="77777777" w:rsidR="003D2747" w:rsidRDefault="00000000">
      <w:pPr>
        <w:ind w:firstLineChars="200" w:firstLine="420"/>
      </w:pPr>
      <w:r>
        <w:rPr>
          <w:rFonts w:hint="eastAsia"/>
        </w:rPr>
        <w:t>我们同时建立了全域生态监测网络。通过部署于陆地与水体的传感器节点，系统实时追踪关键生态指标。数据汇聚至中央环境</w:t>
      </w:r>
      <w:r>
        <w:rPr>
          <w:rFonts w:hint="eastAsia"/>
        </w:rPr>
        <w:t>AI</w:t>
      </w:r>
      <w:r>
        <w:rPr>
          <w:rFonts w:hint="eastAsia"/>
        </w:rPr>
        <w:t>，生成生态系统的动态数字模型，为修复策略的制定与优化提供科学依据，实现从治理到预防的闭环管理。</w:t>
      </w:r>
    </w:p>
    <w:p w14:paraId="0CA79503" w14:textId="77777777" w:rsidR="003D2747" w:rsidRDefault="00000000">
      <w:pPr>
        <w:ind w:firstLineChars="200" w:firstLine="420"/>
      </w:pPr>
      <w:r>
        <w:rPr>
          <w:rFonts w:hint="eastAsia"/>
        </w:rPr>
        <w:t>在生物多样性恢复方面，我们运用基因库与保育机器人技术。基于预先建立的物种基因库，我们通过人工培育与机器人辅助放归，逐步重建当地的生物群落。保育机器人负责监测珍稀物种、清除入侵生物，为生态系统的自然恢复提供支持。这套综合治理体系的确立，标志着我们的生态管理从被动治理转向主动干预与精准维护的新阶段，为文明与自然的长期共生奠定了坚实基础。</w:t>
      </w:r>
    </w:p>
    <w:p w14:paraId="00C30C1E" w14:textId="77777777" w:rsidR="003D2747" w:rsidRDefault="003D2747">
      <w:pPr>
        <w:ind w:firstLineChars="200" w:firstLine="420"/>
      </w:pPr>
    </w:p>
    <w:p w14:paraId="718A9B87" w14:textId="77777777" w:rsidR="003D2747" w:rsidRDefault="00000000">
      <w:pPr>
        <w:ind w:firstLineChars="200" w:firstLine="420"/>
      </w:pPr>
      <w:r>
        <w:rPr>
          <w:rFonts w:hint="eastAsia"/>
        </w:rPr>
        <w:t>这一时期的核心使命，在于通过人口、技术与生态三大系统的精密协同与有序建设，构建一个具备内在自我优化能力的文明框架。我们不仅致力于实现社会规模扩大过程中的高效稳定，更重要的是，通过建立人口需求与资源分配的动态匹配机制、完成从专业化自动化到全能机器人集群的技术跨越、以及形成核能安全利用与生态精准修复的完整体系，为文明步入千年稳态奠定坚实的系统基础。这一过程所锤炼出的，不仅是解决具体问题的能力，更是一套能够持续学习、动态调整并不断进化的社会运行范式，确保我们的文明在达到规模稳定后，依然能保持蓬勃的活力与永恒的进步动力。</w:t>
      </w:r>
    </w:p>
    <w:p w14:paraId="5CEBB83C" w14:textId="77777777" w:rsidR="003D2747" w:rsidRDefault="00000000">
      <w:pPr>
        <w:pStyle w:val="3"/>
      </w:pPr>
      <w:r>
        <w:t xml:space="preserve">14.2 </w:t>
      </w:r>
      <w:r>
        <w:t>稳态未来：永恒的守望与进益</w:t>
      </w:r>
    </w:p>
    <w:p w14:paraId="5AC5BAA9" w14:textId="77777777" w:rsidR="003D2747" w:rsidRDefault="00000000">
      <w:pPr>
        <w:ind w:firstLineChars="200" w:firstLine="420"/>
      </w:pPr>
      <w:r>
        <w:t>当人口稳定在</w:t>
      </w:r>
      <w:r>
        <w:t>4000</w:t>
      </w:r>
      <w:r>
        <w:t>人规模且全能机器人成为社会基础支撑时，我们的文明将正式进入</w:t>
      </w:r>
      <w:r>
        <w:rPr>
          <w:rFonts w:hint="eastAsia"/>
        </w:rPr>
        <w:t>“</w:t>
      </w:r>
      <w:r>
        <w:t>稳态范式</w:t>
      </w:r>
      <w:r>
        <w:rPr>
          <w:rFonts w:hint="eastAsia"/>
        </w:rPr>
        <w:t>”</w:t>
      </w:r>
      <w:r>
        <w:t>发展阶段。这一阶段的特征是在保持规模稳定的前提下，实现社会系统的持续优化与品质提升。</w:t>
      </w:r>
    </w:p>
    <w:p w14:paraId="077A699B" w14:textId="77777777" w:rsidR="003D2747" w:rsidRDefault="00000000">
      <w:pPr>
        <w:rPr>
          <w:b/>
          <w:bCs/>
        </w:rPr>
      </w:pPr>
      <w:r>
        <w:rPr>
          <w:b/>
          <w:bCs/>
        </w:rPr>
        <w:t>1</w:t>
      </w:r>
      <w:r>
        <w:rPr>
          <w:b/>
          <w:bCs/>
        </w:rPr>
        <w:t>、经济体系：成熟的中央分配制</w:t>
      </w:r>
    </w:p>
    <w:p w14:paraId="25706AC1" w14:textId="77777777" w:rsidR="003D2747" w:rsidRDefault="00000000">
      <w:pPr>
        <w:pStyle w:val="a3"/>
        <w:widowControl/>
        <w:shd w:val="clear" w:color="auto" w:fill="FFFFFF"/>
        <w:ind w:firstLineChars="200" w:firstLine="420"/>
        <w:rPr>
          <w:sz w:val="21"/>
        </w:rPr>
      </w:pPr>
      <w:r>
        <w:rPr>
          <w:sz w:val="21"/>
        </w:rPr>
        <w:t>中央分配制度在这一阶段已达到高度精细化与自适应性的运作水平。中央大</w:t>
      </w:r>
      <w:r>
        <w:rPr>
          <w:sz w:val="21"/>
        </w:rPr>
        <w:t>AI</w:t>
      </w:r>
      <w:r>
        <w:rPr>
          <w:sz w:val="21"/>
        </w:rPr>
        <w:t>作为资源配置的核心枢纽，通过覆盖全域的传感网络与数据分析系统，持续追踪并评估三个关键维度的实时数据：生态系统的环境承载力、社会文化项目的推进需求、以及每位成员经个人</w:t>
      </w:r>
      <w:r>
        <w:rPr>
          <w:sz w:val="21"/>
        </w:rPr>
        <w:t>AI</w:t>
      </w:r>
      <w:r>
        <w:rPr>
          <w:sz w:val="21"/>
        </w:rPr>
        <w:t>提交的发展规划与技能档案。</w:t>
      </w:r>
    </w:p>
    <w:p w14:paraId="2DC3A349" w14:textId="77777777" w:rsidR="003D2747" w:rsidRDefault="00000000">
      <w:pPr>
        <w:pStyle w:val="a3"/>
        <w:widowControl/>
        <w:shd w:val="clear" w:color="auto" w:fill="FFFFFF"/>
        <w:ind w:firstLineChars="200" w:firstLine="420"/>
        <w:rPr>
          <w:sz w:val="21"/>
        </w:rPr>
      </w:pPr>
      <w:r>
        <w:rPr>
          <w:sz w:val="21"/>
        </w:rPr>
        <w:t>在这一体系下，资源配置呈现出高度的动态性与前瞻性。分配范畴已从基础的衣食住行物资，全面扩展至包括计算力配额、尖端科研设备使用权、艺术创作资源、以及星际探索任务参与权等非物质核心资源。每一项关键资源的分配，均由中央大</w:t>
      </w:r>
      <w:r>
        <w:rPr>
          <w:sz w:val="21"/>
        </w:rPr>
        <w:t>AI</w:t>
      </w:r>
      <w:r>
        <w:rPr>
          <w:sz w:val="21"/>
        </w:rPr>
        <w:t>基于多维度的优化算法进行决策，其目标是在保障生态系统可持续性的前提下，最大化地激发社会整体的创新潜能与个体的自我实现。</w:t>
      </w:r>
    </w:p>
    <w:p w14:paraId="703292F7" w14:textId="77777777" w:rsidR="003D2747" w:rsidRDefault="00000000">
      <w:pPr>
        <w:pStyle w:val="a3"/>
        <w:widowControl/>
        <w:shd w:val="clear" w:color="auto" w:fill="FFFFFF"/>
        <w:ind w:firstLineChars="200" w:firstLine="420"/>
        <w:rPr>
          <w:sz w:val="21"/>
        </w:rPr>
      </w:pPr>
      <w:r>
        <w:rPr>
          <w:sz w:val="21"/>
        </w:rPr>
        <w:t>个人价值的实现机制也完成了根本性转变，完全脱离了传统货币体系。取而代之的是一套名为</w:t>
      </w:r>
      <w:r>
        <w:rPr>
          <w:rFonts w:hint="eastAsia"/>
          <w:sz w:val="21"/>
        </w:rPr>
        <w:t>“</w:t>
      </w:r>
      <w:r>
        <w:rPr>
          <w:sz w:val="21"/>
        </w:rPr>
        <w:t>社会贡献度</w:t>
      </w:r>
      <w:r>
        <w:rPr>
          <w:rFonts w:hint="eastAsia"/>
          <w:sz w:val="21"/>
        </w:rPr>
        <w:t>”</w:t>
      </w:r>
      <w:r>
        <w:rPr>
          <w:sz w:val="21"/>
        </w:rPr>
        <w:t>的多维评估系统。该系统通过量化分析个体在科研突破、技术创新、文化传承、知识教育、社区治理及生态维护等多个关键领域的实际贡献，生成一个综合性的评价指标。这一指标并非用于等级划分，而是作为获取特定稀有资源（如主导重大研究项目、优先使用先进实验室、发起大型艺术创作）权限的核心依据。这套体系确保了个人成就与社会福祉的高度统一，使得每个人的才能都能在最适合的领域得到充分发挥与认可，形成了持续自我优化的良性循环。</w:t>
      </w:r>
    </w:p>
    <w:p w14:paraId="701A339C" w14:textId="77777777" w:rsidR="003D2747" w:rsidRDefault="00000000">
      <w:pPr>
        <w:pStyle w:val="a3"/>
        <w:widowControl/>
        <w:shd w:val="clear" w:color="auto" w:fill="FFFFFF"/>
        <w:rPr>
          <w:b/>
          <w:bCs/>
          <w:sz w:val="21"/>
        </w:rPr>
      </w:pPr>
      <w:r>
        <w:rPr>
          <w:b/>
          <w:bCs/>
          <w:sz w:val="21"/>
        </w:rPr>
        <w:t>2</w:t>
      </w:r>
      <w:r>
        <w:rPr>
          <w:b/>
          <w:bCs/>
          <w:sz w:val="21"/>
        </w:rPr>
        <w:t>、能源与环境：可持续的共生模式</w:t>
      </w:r>
    </w:p>
    <w:p w14:paraId="0D1F6FBC" w14:textId="77777777" w:rsidR="003D2747" w:rsidRDefault="00000000">
      <w:pPr>
        <w:pStyle w:val="a3"/>
        <w:widowControl/>
        <w:shd w:val="clear" w:color="auto" w:fill="FFFFFF"/>
        <w:ind w:firstLineChars="200" w:firstLine="420"/>
        <w:rPr>
          <w:sz w:val="21"/>
        </w:rPr>
      </w:pPr>
      <w:r>
        <w:rPr>
          <w:sz w:val="21"/>
        </w:rPr>
        <w:t>能源供应体系建立在多元化、可持续且高度可靠的技术基础之上。干热岩地热发电构成整个系统的核心基础，通过自主运行的机器人团队钻探至地下</w:t>
      </w:r>
      <w:r>
        <w:rPr>
          <w:sz w:val="21"/>
        </w:rPr>
        <w:t>5-10</w:t>
      </w:r>
      <w:r>
        <w:rPr>
          <w:sz w:val="21"/>
        </w:rPr>
        <w:t>公里深处的高温岩层，</w:t>
      </w:r>
      <w:r>
        <w:rPr>
          <w:sz w:val="21"/>
        </w:rPr>
        <w:lastRenderedPageBreak/>
        <w:t>构建起覆盖全域的深层地热采集网络。这套系统利用增强型地热系统技术，通过注入工质提取地下热能，实现全年无间断的稳定电力输出，其能源储量足以支撑文明数千年的发展需求。</w:t>
      </w:r>
    </w:p>
    <w:p w14:paraId="6F8FB3A5" w14:textId="77777777" w:rsidR="003D2747" w:rsidRDefault="00000000">
      <w:pPr>
        <w:pStyle w:val="a3"/>
        <w:widowControl/>
        <w:shd w:val="clear" w:color="auto" w:fill="FFFFFF"/>
        <w:ind w:firstLineChars="200" w:firstLine="420"/>
        <w:rPr>
          <w:sz w:val="21"/>
        </w:rPr>
      </w:pPr>
      <w:r>
        <w:rPr>
          <w:sz w:val="21"/>
        </w:rPr>
        <w:t>在基础能源保障之外，我们建立了完善的辅助能源体系。海洋温差发电装置分布于适宜海域，通过利用表层温水与深层冷水之间的温度差持续产生电能，为沿海社区及科研设施提供稳定补充电力。与此同时，受控核聚变技术作为战略储备持续开展研发工作，其目标并非取代现有能源体系，而是为未来可能的能源需求增长及深空探索任务提供技术储备。</w:t>
      </w:r>
    </w:p>
    <w:p w14:paraId="29CB541C" w14:textId="77777777" w:rsidR="003D2747" w:rsidRDefault="00000000">
      <w:pPr>
        <w:pStyle w:val="a3"/>
        <w:widowControl/>
        <w:shd w:val="clear" w:color="auto" w:fill="FFFFFF"/>
        <w:ind w:firstLineChars="200" w:firstLine="420"/>
        <w:rPr>
          <w:sz w:val="21"/>
        </w:rPr>
      </w:pPr>
      <w:r>
        <w:rPr>
          <w:sz w:val="21"/>
        </w:rPr>
        <w:t>为确保能源系统的稳定运行，我们</w:t>
      </w:r>
      <w:r>
        <w:rPr>
          <w:rFonts w:hint="eastAsia"/>
          <w:sz w:val="21"/>
        </w:rPr>
        <w:t>将会</w:t>
      </w:r>
      <w:r>
        <w:rPr>
          <w:sz w:val="21"/>
        </w:rPr>
        <w:t>建立智能能源调度中心。通过实时监测各能源节点的输出状态和全域用能需求，系统自动进行最优化的电力调配。在能源过剩期，电能将被转化为氢能等储能形式；在用能高峰时段，多元化的能源供应渠道能够确保关键设施和民生需求的优先供应。这套完整的能源架构既保障了社会运转的能源安全，又最大限度降低了对自然环境的影响。</w:t>
      </w:r>
      <w:r>
        <w:rPr>
          <w:sz w:val="21"/>
        </w:rPr>
        <w:br/>
      </w:r>
      <w:r>
        <w:rPr>
          <w:rFonts w:hint="eastAsia"/>
          <w:sz w:val="21"/>
        </w:rPr>
        <w:t xml:space="preserve">    </w:t>
      </w:r>
      <w:r>
        <w:rPr>
          <w:sz w:val="21"/>
        </w:rPr>
        <w:t>在环境建设方面，我们全面推行</w:t>
      </w:r>
      <w:r>
        <w:rPr>
          <w:rFonts w:hint="eastAsia"/>
          <w:sz w:val="21"/>
        </w:rPr>
        <w:t>“</w:t>
      </w:r>
      <w:r>
        <w:rPr>
          <w:sz w:val="21"/>
        </w:rPr>
        <w:t>生态嵌入式</w:t>
      </w:r>
      <w:r>
        <w:rPr>
          <w:rFonts w:hint="eastAsia"/>
          <w:sz w:val="21"/>
        </w:rPr>
        <w:t>”</w:t>
      </w:r>
      <w:r>
        <w:rPr>
          <w:sz w:val="21"/>
        </w:rPr>
        <w:t>发展策略，将人类居住区设计与自然生态系统深度融合。所有居住建筑采用渗透式设计，地表保留自然渗透功能，建筑外墙集成垂直农场与空气净化植被，地下空间构建连接周边生态的生物廊道。城市照明系统采用特定波长的</w:t>
      </w:r>
      <w:r>
        <w:rPr>
          <w:sz w:val="21"/>
        </w:rPr>
        <w:t>LED</w:t>
      </w:r>
      <w:r>
        <w:rPr>
          <w:sz w:val="21"/>
        </w:rPr>
        <w:t>光源，有效减少对夜间生物活动的影响。</w:t>
      </w:r>
    </w:p>
    <w:p w14:paraId="699873F2" w14:textId="77777777" w:rsidR="003D2747" w:rsidRDefault="00000000">
      <w:pPr>
        <w:pStyle w:val="a3"/>
        <w:widowControl/>
        <w:shd w:val="clear" w:color="auto" w:fill="FFFFFF"/>
        <w:ind w:firstLineChars="200" w:firstLine="420"/>
        <w:rPr>
          <w:sz w:val="21"/>
        </w:rPr>
      </w:pPr>
      <w:r>
        <w:rPr>
          <w:sz w:val="21"/>
        </w:rPr>
        <w:t>在空间扩展方面，我们严格执行环境友好型建设标准。海上浮动平台采用环保材料建造，其水下支撑结构经过专门设计，为海洋生物提供栖息场所，平台运行所需的能源完全自给自足。在沙漠、冻土带等极端环境建立的生态穹顶，采用封闭式循环系统，内部生态系统与外部完全隔离，通过精准环境控制实现自维持运作，作为生态适应研究的实验基地。</w:t>
      </w:r>
    </w:p>
    <w:p w14:paraId="7B4A39C2" w14:textId="77777777" w:rsidR="003D2747" w:rsidRDefault="00000000">
      <w:pPr>
        <w:pStyle w:val="a3"/>
        <w:widowControl/>
        <w:shd w:val="clear" w:color="auto" w:fill="FFFFFF"/>
        <w:ind w:firstLineChars="200" w:firstLine="420"/>
        <w:rPr>
          <w:sz w:val="21"/>
        </w:rPr>
      </w:pPr>
      <w:r>
        <w:rPr>
          <w:sz w:val="21"/>
        </w:rPr>
        <w:t>为确保建设活动与生态环境的协调统一，我们建立了完善的环境影响评估机制。每个建设项目实施前都需通过生态承载力模拟，施工过程中使用环境监测机器人实时跟踪生态指标，确保将人类活动对自然环境的影响降至最低。这种发展模式既满足了必要的空间需求，又实现了与自然生态的和谐共生。</w:t>
      </w:r>
    </w:p>
    <w:p w14:paraId="4A7AAF0B" w14:textId="77777777" w:rsidR="003D2747" w:rsidRDefault="00000000">
      <w:pPr>
        <w:pStyle w:val="a3"/>
        <w:widowControl/>
        <w:shd w:val="clear" w:color="auto" w:fill="FFFFFF"/>
        <w:rPr>
          <w:b/>
          <w:bCs/>
          <w:sz w:val="21"/>
        </w:rPr>
      </w:pPr>
      <w:r>
        <w:rPr>
          <w:b/>
          <w:bCs/>
          <w:sz w:val="21"/>
        </w:rPr>
        <w:t>3</w:t>
      </w:r>
      <w:r>
        <w:rPr>
          <w:b/>
          <w:bCs/>
          <w:sz w:val="21"/>
        </w:rPr>
        <w:t>、科技与探索：明确的发展路径</w:t>
      </w:r>
    </w:p>
    <w:p w14:paraId="12CE2B2F" w14:textId="77777777" w:rsidR="003D2747" w:rsidRDefault="00000000">
      <w:pPr>
        <w:pStyle w:val="a3"/>
        <w:widowControl/>
        <w:shd w:val="clear" w:color="auto" w:fill="FFFFFF"/>
        <w:ind w:firstLineChars="200" w:firstLine="420"/>
        <w:rPr>
          <w:sz w:val="21"/>
        </w:rPr>
      </w:pPr>
      <w:r>
        <w:rPr>
          <w:sz w:val="21"/>
        </w:rPr>
        <w:t>在科技探索的前沿，我们将沿着三个关键方向突破现有认知的边界：</w:t>
      </w:r>
    </w:p>
    <w:p w14:paraId="7040FE13" w14:textId="77777777" w:rsidR="003D2747" w:rsidRDefault="00000000">
      <w:pPr>
        <w:pStyle w:val="a3"/>
        <w:widowControl/>
        <w:shd w:val="clear" w:color="auto" w:fill="FFFFFF"/>
        <w:ind w:firstLineChars="200" w:firstLine="420"/>
        <w:rPr>
          <w:sz w:val="21"/>
        </w:rPr>
      </w:pPr>
      <w:r>
        <w:rPr>
          <w:sz w:val="21"/>
        </w:rPr>
        <w:t>在微观制造领域，原子级精度的装配技术将使我们能够构建具有革命性的新型材料与设备。我们将开发具备自我修复能力的结构材料，这些材料在受损时能够自主重构其微观架构；制造可在人体内执行精准医疗任务的纳米机器人，这些微型装置能够靶向递送药物、清除血管斑块甚至完成细胞级修复；同时创造具有可编程物性的智能材料，其力学特性与物理性能可根据指令实时调整，为各领域的技术创新提供前所未有的物质基础。</w:t>
      </w:r>
    </w:p>
    <w:p w14:paraId="6661B017" w14:textId="77777777" w:rsidR="003D2747" w:rsidRDefault="00000000">
      <w:pPr>
        <w:pStyle w:val="a3"/>
        <w:widowControl/>
        <w:shd w:val="clear" w:color="auto" w:fill="FFFFFF"/>
        <w:ind w:firstLineChars="200" w:firstLine="420"/>
        <w:rPr>
          <w:sz w:val="21"/>
        </w:rPr>
      </w:pPr>
      <w:r>
        <w:rPr>
          <w:sz w:val="21"/>
        </w:rPr>
        <w:t>神经交互技术将开启人类认知能力的新纪元。非侵入式脑机接口系统将实现大脑与外部设备的直接高效交互，不仅使知识的快速传递成为可能</w:t>
      </w:r>
      <w:r>
        <w:rPr>
          <w:rFonts w:hint="eastAsia"/>
          <w:sz w:val="21"/>
        </w:rPr>
        <w:t>——</w:t>
      </w:r>
      <w:r>
        <w:rPr>
          <w:sz w:val="21"/>
        </w:rPr>
        <w:t>个体可在数小时内掌握复杂技能体系，更将催生全新的协同创新模式：多位研究者能够实时共享思维过程，共同推进重大科学问题的解决。基于全息记录技术构建的沉浸式档案库，将完整保存重要历史时刻与突破性发现的感官数据，让后人能够身临其境地体验文明进程中的每个关键节点。</w:t>
      </w:r>
    </w:p>
    <w:p w14:paraId="778383FB" w14:textId="77777777" w:rsidR="003D2747" w:rsidRDefault="00000000">
      <w:pPr>
        <w:pStyle w:val="a3"/>
        <w:widowControl/>
        <w:shd w:val="clear" w:color="auto" w:fill="FFFFFF"/>
        <w:ind w:firstLineChars="200" w:firstLine="420"/>
        <w:rPr>
          <w:sz w:val="21"/>
        </w:rPr>
      </w:pPr>
      <w:r>
        <w:rPr>
          <w:sz w:val="21"/>
        </w:rPr>
        <w:t>在生命科学研究中，我们将致力于构建与本土生物圈的深度对话机制。通过解析生物间的化学信号与声学模式，我们将开发跨物种信息解读系统，实现对动物通讯行为的初步理解。在此基础上研制的生态调节剂，将能够精准影响特定物种种群动态，协助恢复受损的生态平衡。这些技术将使我们从自然观察者转变为生态系统的积极参与者，推动建立更加和谐的人与自然共生关系。</w:t>
      </w:r>
    </w:p>
    <w:p w14:paraId="3CB8B0D5" w14:textId="77777777" w:rsidR="003D2747" w:rsidRDefault="003D2747">
      <w:pPr>
        <w:pStyle w:val="a3"/>
        <w:widowControl/>
        <w:shd w:val="clear" w:color="auto" w:fill="FFFFFF"/>
        <w:ind w:firstLineChars="200" w:firstLine="420"/>
        <w:rPr>
          <w:sz w:val="21"/>
        </w:rPr>
      </w:pPr>
    </w:p>
    <w:p w14:paraId="59286D58" w14:textId="77777777" w:rsidR="003D2747" w:rsidRDefault="00000000">
      <w:pPr>
        <w:pStyle w:val="a3"/>
        <w:widowControl/>
        <w:shd w:val="clear" w:color="auto" w:fill="FFFFFF"/>
        <w:ind w:firstLineChars="200" w:firstLine="420"/>
        <w:rPr>
          <w:sz w:val="21"/>
        </w:rPr>
      </w:pPr>
      <w:r>
        <w:rPr>
          <w:sz w:val="21"/>
        </w:rPr>
        <w:t>这一阶段的文明发展，标志着我们正式进入以质量提升为核心的稳态进化时期。在人口规模保持动态平衡的前提下，我们通过持续的技术突破与制度完善，构建起一个兼具高度稳定性与内在驱动力的社会发展模式。在内部，我们通过精准的资源分配机制和不断升级的基</w:t>
      </w:r>
      <w:r>
        <w:rPr>
          <w:sz w:val="21"/>
        </w:rPr>
        <w:lastRenderedPageBreak/>
        <w:t>础设施，确保每个成员都能享有日益精进的生活品质与充分的发展机会；在外部，我们借助尖端科技突破物理与认知的边界，将探索领域从地球生态圈延伸至微观粒子尺度与星际空间维度。这种内求完善、外拓边疆的发展路径，既保障了文明核心的持久稳固，又为未来的无限可能保留了开放性的发展通道，最终形成一个能够自我维系、持续演进的高级文明形态。</w:t>
      </w:r>
    </w:p>
    <w:p w14:paraId="04C4977B" w14:textId="77777777" w:rsidR="003D2747" w:rsidRDefault="003D2747">
      <w:pPr>
        <w:pStyle w:val="a3"/>
        <w:widowControl/>
        <w:shd w:val="clear" w:color="auto" w:fill="FFFFFF"/>
        <w:ind w:firstLineChars="200" w:firstLine="420"/>
        <w:rPr>
          <w:sz w:val="21"/>
        </w:rPr>
      </w:pPr>
    </w:p>
    <w:p w14:paraId="4323F9EC" w14:textId="77777777" w:rsidR="003D2747" w:rsidRDefault="00000000">
      <w:pPr>
        <w:pStyle w:val="3"/>
      </w:pPr>
      <w:r>
        <w:rPr>
          <w:rFonts w:hint="eastAsia"/>
        </w:rPr>
        <w:t>14.3</w:t>
      </w:r>
      <w:r>
        <w:t>深空纪元：文明的宇宙策展时代</w:t>
      </w:r>
    </w:p>
    <w:p w14:paraId="12904466" w14:textId="77777777" w:rsidR="003D2747" w:rsidRDefault="00000000">
      <w:pPr>
        <w:pStyle w:val="a3"/>
        <w:widowControl/>
        <w:shd w:val="clear" w:color="auto" w:fill="FFFFFF"/>
        <w:ind w:firstLineChars="200" w:firstLine="420"/>
        <w:rPr>
          <w:sz w:val="21"/>
        </w:rPr>
      </w:pPr>
      <w:r>
        <w:rPr>
          <w:sz w:val="21"/>
        </w:rPr>
        <w:t>在家园星球的生态系统实现完全平衡后，我们的文明将自然转向对更广阔宇宙的探索与研究。这一阶段的重点不在于领土扩张，而是以理解宇宙规律、建立文明间的认知连接、守护生命多样性为核心使命。</w:t>
      </w:r>
    </w:p>
    <w:p w14:paraId="2E12D6C2" w14:textId="77777777" w:rsidR="003D2747" w:rsidRDefault="00000000">
      <w:pPr>
        <w:pStyle w:val="a3"/>
        <w:widowControl/>
        <w:shd w:val="clear" w:color="auto" w:fill="FFFFFF"/>
        <w:rPr>
          <w:b/>
          <w:bCs/>
          <w:sz w:val="21"/>
        </w:rPr>
      </w:pPr>
      <w:r>
        <w:rPr>
          <w:b/>
          <w:bCs/>
          <w:sz w:val="21"/>
        </w:rPr>
        <w:t>1</w:t>
      </w:r>
      <w:r>
        <w:rPr>
          <w:b/>
          <w:bCs/>
          <w:sz w:val="21"/>
        </w:rPr>
        <w:t>、星际航行技术体系</w:t>
      </w:r>
    </w:p>
    <w:p w14:paraId="6567EEED" w14:textId="77777777" w:rsidR="003D2747" w:rsidRDefault="00000000">
      <w:pPr>
        <w:pStyle w:val="a3"/>
        <w:widowControl/>
        <w:shd w:val="clear" w:color="auto" w:fill="FFFFFF"/>
        <w:ind w:firstLineChars="200" w:firstLine="420"/>
        <w:rPr>
          <w:sz w:val="21"/>
        </w:rPr>
      </w:pPr>
      <w:r>
        <w:rPr>
          <w:sz w:val="21"/>
        </w:rPr>
        <w:t>在推进系统方面，我们将实现从化学推进到时空操纵的跨越式发展。反物质冲压发动机将成为恒星际探测器的核心动力装置，通过收集星际空间中稀薄的氢原子与携带的反物质发生湮灭反应，持续产生推力，使探测器能够加速至接近光速。这种推进系统特别适合数光年距离的星际探索任务。与此同时，基于时空度规工程学的曲率驱动技术将进入实质性研发阶段，通过改变飞船前后方的时空曲率，形成可移动的时空泡，实现在不违背相对论前提下的超光速航行。这项技术的研究将推动我们对时空本质的深入理解。</w:t>
      </w:r>
    </w:p>
    <w:p w14:paraId="7C757074" w14:textId="77777777" w:rsidR="003D2747" w:rsidRDefault="00000000">
      <w:pPr>
        <w:pStyle w:val="a3"/>
        <w:widowControl/>
        <w:shd w:val="clear" w:color="auto" w:fill="FFFFFF"/>
        <w:ind w:firstLineChars="200" w:firstLine="420"/>
        <w:rPr>
          <w:sz w:val="21"/>
        </w:rPr>
      </w:pPr>
      <w:r>
        <w:rPr>
          <w:sz w:val="21"/>
        </w:rPr>
        <w:t>在飞船架构层面，恒星际飞船将采用高度集成的智能系统设计。每艘飞船都是一个具备自主运行能力的综合平台，集成了自我修复、资源循环利用和有限制造功能。船体结构融合了生物材料的自适应特性和纳米机械的精密控制优势，能够在极端宇宙环境中保持稳定运行。飞船的生命支持系统采用模块化设计，可根据任务需求配置不同的乘员模式：数字化意识存储单元可确保乘员在航行期间的意识完整性，而先进的低温休眠系统则为生物学形态的乘员提供长期生存保障。这种灵活的架构设计确保了星际探索任务的可延续性和适应性。</w:t>
      </w:r>
    </w:p>
    <w:p w14:paraId="4C4BE0A8" w14:textId="77777777" w:rsidR="003D2747" w:rsidRDefault="00000000">
      <w:pPr>
        <w:pStyle w:val="a3"/>
        <w:widowControl/>
        <w:shd w:val="clear" w:color="auto" w:fill="FFFFFF"/>
        <w:ind w:firstLineChars="200" w:firstLine="420"/>
        <w:rPr>
          <w:sz w:val="21"/>
        </w:rPr>
      </w:pPr>
      <w:r>
        <w:rPr>
          <w:sz w:val="21"/>
        </w:rPr>
        <w:t>在能源管理方面，飞船将采用多元化的供能方案。除了主推进系统外，还配备了核聚变辅助能源和恒星辐射收集系统，确保持续数十年的深空航行能源需求。飞船的计算核心采用分布式量子计算架构，具备自主决策和问题解决能力，能够应对航行中可能出现的各种复杂情况。同时，飞船还配备了完善的科学探测设备套件，包括多波段天文观测仪、星际介质分析仪和生命迹象探测系统，确保在航行过程中能够持续开展科学研究。</w:t>
      </w:r>
    </w:p>
    <w:p w14:paraId="1DEAFE50" w14:textId="77777777" w:rsidR="003D2747" w:rsidRDefault="00000000">
      <w:pPr>
        <w:pStyle w:val="a3"/>
        <w:widowControl/>
        <w:shd w:val="clear" w:color="auto" w:fill="FFFFFF"/>
        <w:rPr>
          <w:b/>
          <w:bCs/>
          <w:sz w:val="21"/>
        </w:rPr>
      </w:pPr>
      <w:r>
        <w:rPr>
          <w:b/>
          <w:bCs/>
          <w:sz w:val="21"/>
        </w:rPr>
        <w:t>2</w:t>
      </w:r>
      <w:r>
        <w:rPr>
          <w:b/>
          <w:bCs/>
          <w:sz w:val="21"/>
        </w:rPr>
        <w:t>、探索与研究模式</w:t>
      </w:r>
    </w:p>
    <w:p w14:paraId="101CA431" w14:textId="77777777" w:rsidR="003D2747" w:rsidRDefault="00000000">
      <w:pPr>
        <w:pStyle w:val="a3"/>
        <w:widowControl/>
        <w:shd w:val="clear" w:color="auto" w:fill="FFFFFF"/>
        <w:ind w:firstLineChars="200" w:firstLine="420"/>
        <w:rPr>
          <w:sz w:val="21"/>
        </w:rPr>
      </w:pPr>
      <w:r>
        <w:rPr>
          <w:sz w:val="21"/>
        </w:rPr>
        <w:t>我们将实施系统化的深空探测计划，采用分布式探测架构对目标星系进行全方位研究。该计划的核心是向候选星系发射数以万计的微型探测器集群，这些探测器配备高精度传感器，能够在目标行星系中自主定位并建立协同观测网络。每个探测器持续收集大气成分、地质活动、电磁频谱等天体物理数据，并特别关注可能暗示生命存在的生物标志物信息。通过建立的星际量子通信网络，所有探测数据将实现近实时传输，确保科研团队能够及时获取第一手宇宙环境资料。</w:t>
      </w:r>
    </w:p>
    <w:p w14:paraId="20C7A920" w14:textId="77777777" w:rsidR="003D2747" w:rsidRDefault="00000000">
      <w:pPr>
        <w:pStyle w:val="a3"/>
        <w:widowControl/>
        <w:shd w:val="clear" w:color="auto" w:fill="FFFFFF"/>
        <w:ind w:firstLineChars="200" w:firstLine="420"/>
        <w:rPr>
          <w:sz w:val="21"/>
        </w:rPr>
      </w:pPr>
      <w:r>
        <w:rPr>
          <w:sz w:val="21"/>
        </w:rPr>
        <w:t>基于海量探测数据，我们将构建高保真的系外行星数字孪生系统。这个动态模型将完整再现目标天体的物理特征、化学循环和能量流动，研究人员通过先进的神经接口可直接接入该虚拟环境。系统支持多感官沉浸体验，允许科学家以任意尺度观察行星环境</w:t>
      </w:r>
      <w:r>
        <w:rPr>
          <w:rFonts w:hint="eastAsia"/>
          <w:sz w:val="21"/>
        </w:rPr>
        <w:t>——</w:t>
      </w:r>
      <w:r>
        <w:rPr>
          <w:sz w:val="21"/>
        </w:rPr>
        <w:t>从宏观的地貌变迁到微观的分子活动，同时保持对原始星球的零干扰。这种研究方式不仅为天体生物学和行星科学提供全新研究范式，还确保了我们在探索宇宙的同时恪守非干预原则。</w:t>
      </w:r>
    </w:p>
    <w:p w14:paraId="6F3ACE0A" w14:textId="77777777" w:rsidR="003D2747" w:rsidRDefault="00000000">
      <w:pPr>
        <w:pStyle w:val="a3"/>
        <w:widowControl/>
        <w:shd w:val="clear" w:color="auto" w:fill="FFFFFF"/>
        <w:ind w:firstLineChars="200" w:firstLine="420"/>
        <w:rPr>
          <w:sz w:val="21"/>
        </w:rPr>
      </w:pPr>
      <w:r>
        <w:rPr>
          <w:sz w:val="21"/>
        </w:rPr>
        <w:t>为确保研究效率，我们建立了分级数据处理机制。初级数据由人工智能系统进行自动化分析，识别异常现象和潜在研究价值的目标。中级数据包面向专业研究团队开放，支持定制化的虚拟实验和环境模拟。最高级别的完整数据集则用于构建永久性宇宙档案，为文明保存</w:t>
      </w:r>
      <w:r>
        <w:rPr>
          <w:sz w:val="21"/>
        </w:rPr>
        <w:lastRenderedPageBreak/>
        <w:t>最真实的宇宙演化记录。这套体系既满足了即时科研需求，又为长期宇宙研究积累了完整资料。</w:t>
      </w:r>
    </w:p>
    <w:p w14:paraId="4035CFAA" w14:textId="77777777" w:rsidR="003D2747" w:rsidRDefault="00000000">
      <w:pPr>
        <w:pStyle w:val="a3"/>
        <w:widowControl/>
        <w:shd w:val="clear" w:color="auto" w:fill="FFFFFF"/>
        <w:rPr>
          <w:b/>
          <w:bCs/>
          <w:sz w:val="21"/>
        </w:rPr>
      </w:pPr>
      <w:r>
        <w:rPr>
          <w:b/>
          <w:bCs/>
          <w:sz w:val="21"/>
        </w:rPr>
        <w:t>3</w:t>
      </w:r>
      <w:r>
        <w:rPr>
          <w:b/>
          <w:bCs/>
          <w:sz w:val="21"/>
        </w:rPr>
        <w:t>、文明使命与职责</w:t>
      </w:r>
    </w:p>
    <w:p w14:paraId="7CB90B85" w14:textId="77777777" w:rsidR="003D2747" w:rsidRDefault="00000000">
      <w:pPr>
        <w:pStyle w:val="a3"/>
        <w:widowControl/>
        <w:shd w:val="clear" w:color="auto" w:fill="FFFFFF"/>
        <w:ind w:firstLineChars="200" w:firstLine="420"/>
        <w:rPr>
          <w:sz w:val="21"/>
        </w:rPr>
      </w:pPr>
      <w:r>
        <w:rPr>
          <w:sz w:val="21"/>
        </w:rPr>
        <w:t>我们将建立系统的宇宙文明观测与档案体系。宇宙文明档案馆致力于通过远程传感与无干扰探测技术，完整记录可能发现的智慧文明或生命形态的社会结构、技术路线、文化艺术及历史演变。所有数据采集将严格遵守非干预准则，确保观测行为不影响目标文明的自主发展轨迹。这些珍贵的文明档案将采用量子存储与多维编码技术，构成宇宙生命多样性的永久记录。</w:t>
      </w:r>
    </w:p>
    <w:p w14:paraId="0181C02B" w14:textId="77777777" w:rsidR="003D2747" w:rsidRDefault="00000000">
      <w:pPr>
        <w:pStyle w:val="a3"/>
        <w:widowControl/>
        <w:shd w:val="clear" w:color="auto" w:fill="FFFFFF"/>
        <w:ind w:firstLineChars="200" w:firstLine="420"/>
        <w:rPr>
          <w:sz w:val="21"/>
        </w:rPr>
      </w:pPr>
      <w:r>
        <w:rPr>
          <w:sz w:val="21"/>
        </w:rPr>
        <w:t>在极端特殊情况下，当我们通过充分证据确认某个文明正面临确切的自我毁灭威胁时，将启动严格的干预评估程序。该程序要求中央大</w:t>
      </w:r>
      <w:r>
        <w:rPr>
          <w:sz w:val="21"/>
        </w:rPr>
        <w:t>AI</w:t>
      </w:r>
      <w:r>
        <w:rPr>
          <w:sz w:val="21"/>
        </w:rPr>
        <w:t>进行数万亿次发展路径模拟，经由伦理委员会审核，并提交全民深度审议。若达成共识，我们仅会实施经过精密计算的最低限度干预，例如：利用引力透镜效应偏转即将撞击行星的小天体，或通过伪装成自然现象的编码信息传递关键技术警示。所有这些措施都旨在避免文明的整体性崩溃，同时最大限度维护其发展的自主性。</w:t>
      </w:r>
    </w:p>
    <w:p w14:paraId="35DFA60C" w14:textId="77777777" w:rsidR="003D2747" w:rsidRDefault="00000000">
      <w:pPr>
        <w:pStyle w:val="a3"/>
        <w:widowControl/>
        <w:shd w:val="clear" w:color="auto" w:fill="FFFFFF"/>
        <w:ind w:firstLineChars="200" w:firstLine="420"/>
        <w:rPr>
          <w:sz w:val="21"/>
        </w:rPr>
      </w:pPr>
      <w:r>
        <w:rPr>
          <w:sz w:val="21"/>
        </w:rPr>
        <w:t>在确保不对宇宙环境造成影响的前提下，我们计划开展若干宇宙尺度的科学研究项目。这些项目包括构建星际距离的激光干涉仪网络以探测宇宙基本结构，在选定星云中部署示踪粒子以研究恒星演化过程，以及尝试在真空条件下验证统一场论预测。这些工程既是基础物理研究的重要实验，也将作为人类文明存在的理性见证，其所有设计均遵循宇宙环境保护原则，确保不会对任何潜在生命环境产生干扰。</w:t>
      </w:r>
    </w:p>
    <w:p w14:paraId="760EB837" w14:textId="77777777" w:rsidR="003D2747" w:rsidRDefault="003D2747">
      <w:pPr>
        <w:pStyle w:val="a3"/>
        <w:widowControl/>
        <w:shd w:val="clear" w:color="auto" w:fill="FFFFFF"/>
        <w:ind w:firstLineChars="200" w:firstLine="420"/>
        <w:rPr>
          <w:sz w:val="21"/>
        </w:rPr>
      </w:pPr>
    </w:p>
    <w:p w14:paraId="6EDDA914" w14:textId="77777777" w:rsidR="003D2747" w:rsidRDefault="00000000">
      <w:pPr>
        <w:ind w:firstLineChars="200" w:firstLine="420"/>
      </w:pPr>
      <w:r>
        <w:t>这一阶段的文明演进，标志着我们正式实现从行星文明向宇宙文明的范式转型。在确保家园行星系统完整性与生态平衡的前提下，我们通过建立星际探测网络、发展先进推进技术和构建宇宙文明档案，将文明的认知边界从行星尺度拓展至星际范畴。这种转型的本质不在于物理疆域的扩张，而在于知识体系与研究维度的根本性提升。我们以非干预的观测者、谨慎的守护者和理性的探索者身份融入宇宙，在保持自身文明特质的同时，与更广阔的宇宙建立可持续的认知连接。这种发展模式既维护了家园系统的稳定完整，又为文明注入了永恒的探索动力，开创了在有限规模下实现无限认知可能的新型文明形态。</w:t>
      </w:r>
    </w:p>
    <w:p w14:paraId="04C00F0E" w14:textId="77777777" w:rsidR="003D2747" w:rsidRDefault="003D2747">
      <w:pPr>
        <w:ind w:firstLineChars="200" w:firstLine="420"/>
      </w:pPr>
    </w:p>
    <w:p w14:paraId="1C9CF480" w14:textId="77777777" w:rsidR="003D2747" w:rsidRDefault="00000000">
      <w:pPr>
        <w:ind w:firstLineChars="200" w:firstLine="420"/>
      </w:pPr>
      <w:r>
        <w:rPr>
          <w:rFonts w:hint="eastAsia"/>
        </w:rPr>
        <w:t>于是，我们的故事完成了它的弧光：</w:t>
      </w:r>
    </w:p>
    <w:p w14:paraId="5781E580" w14:textId="77777777" w:rsidR="003D2747" w:rsidRDefault="00000000">
      <w:pPr>
        <w:ind w:firstLineChars="200" w:firstLine="420"/>
      </w:pPr>
      <w:r>
        <w:rPr>
          <w:rFonts w:hint="eastAsia"/>
        </w:rPr>
        <w:t>从“日轮之冕”的奠基者，到这颗星球温柔的园丁：我们学会了在日光与月色间寻找平衡，在科技与诗意间编织和谐。如今，“日轮之冕”不再只是我们家园的名字，更成为一种存在的哲学——如同日轮，我们发光却不灼伤；如同冠冕，我们尊贵却不忘责任。</w:t>
      </w:r>
    </w:p>
    <w:p w14:paraId="4AAD9821" w14:textId="77777777" w:rsidR="003D2747" w:rsidRDefault="00000000">
      <w:pPr>
        <w:ind w:firstLineChars="200" w:firstLine="420"/>
      </w:pPr>
      <w:r>
        <w:rPr>
          <w:rFonts w:hint="eastAsia"/>
        </w:rPr>
        <w:t>四千个生命在这顶光之冠冕下，与无数沉默的机械伙伴共同编织着文明的脉络。我们建造的不是高耸入云的尖塔，而是与大地相连的根系；我们追求的不是照亮宇宙的强光，而是温暖每一个角落的恒常温度。</w:t>
      </w:r>
    </w:p>
    <w:p w14:paraId="2D6FE878" w14:textId="77777777" w:rsidR="003D2747" w:rsidRDefault="00000000">
      <w:pPr>
        <w:ind w:firstLineChars="200" w:firstLine="420"/>
      </w:pPr>
      <w:r>
        <w:rPr>
          <w:rFonts w:hint="eastAsia"/>
        </w:rPr>
        <w:t>在这条少有人走的道路上，“日轮之冕”始终是我们的坐标原点：它提醒我们，真正的光明不在于刺穿黑暗，而在于让万物在自己的时节里生长；真正的守护不在于划清界限，而在于成为生命网络中最坚韧的那根丝线。</w:t>
      </w:r>
    </w:p>
    <w:p w14:paraId="780ADB7D" w14:textId="77777777" w:rsidR="003D2747" w:rsidRDefault="00000000">
      <w:pPr>
        <w:ind w:firstLineChars="200" w:firstLine="420"/>
      </w:pPr>
      <w:r>
        <w:rPr>
          <w:rFonts w:hint="eastAsia"/>
        </w:rPr>
        <w:t>当我们的目光越过大气，投向更深邃的星空时，“日轮之冕”的智慧随之扩散——我们愿做宇宙中不发光的星辰，以谦逊的姿态守护其他可能绽放的生命，以静默的方式参与宇宙的对话。</w:t>
      </w:r>
    </w:p>
    <w:p w14:paraId="38515FA1" w14:textId="77777777" w:rsidR="003D2747" w:rsidRDefault="00000000">
      <w:pPr>
        <w:ind w:firstLineChars="200" w:firstLine="420"/>
      </w:pPr>
      <w:r>
        <w:rPr>
          <w:rFonts w:hint="eastAsia"/>
        </w:rPr>
        <w:t>这，就是我们为自己和所有生命，所选择的未来。</w:t>
      </w:r>
    </w:p>
    <w:sectPr w:rsidR="003D27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1F3C" w14:textId="77777777" w:rsidR="00587A34" w:rsidRDefault="00587A34" w:rsidP="00167919">
      <w:r>
        <w:separator/>
      </w:r>
    </w:p>
  </w:endnote>
  <w:endnote w:type="continuationSeparator" w:id="0">
    <w:p w14:paraId="02ED481D" w14:textId="77777777" w:rsidR="00587A34" w:rsidRDefault="00587A34" w:rsidP="00167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BC0E9" w14:textId="77777777" w:rsidR="00587A34" w:rsidRDefault="00587A34" w:rsidP="00167919">
      <w:r>
        <w:separator/>
      </w:r>
    </w:p>
  </w:footnote>
  <w:footnote w:type="continuationSeparator" w:id="0">
    <w:p w14:paraId="13A5AFDC" w14:textId="77777777" w:rsidR="00587A34" w:rsidRDefault="00587A34" w:rsidP="001679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4AA0"/>
    <w:multiLevelType w:val="hybridMultilevel"/>
    <w:tmpl w:val="0396F140"/>
    <w:lvl w:ilvl="0" w:tplc="B2A2A2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780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2747"/>
    <w:rsid w:val="00167919"/>
    <w:rsid w:val="003D2747"/>
    <w:rsid w:val="00587A34"/>
    <w:rsid w:val="008847F5"/>
    <w:rsid w:val="01F2705B"/>
    <w:rsid w:val="06DD3E11"/>
    <w:rsid w:val="09FD3DD3"/>
    <w:rsid w:val="1EE051D6"/>
    <w:rsid w:val="27BC0659"/>
    <w:rsid w:val="34C91D96"/>
    <w:rsid w:val="3AAA24BC"/>
    <w:rsid w:val="40E62163"/>
    <w:rsid w:val="4A4862FE"/>
    <w:rsid w:val="4B855C55"/>
    <w:rsid w:val="4C8E1DF2"/>
    <w:rsid w:val="4CA51C2A"/>
    <w:rsid w:val="55764A0B"/>
    <w:rsid w:val="5E075281"/>
    <w:rsid w:val="606D3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775233"/>
  <w15:docId w15:val="{9FA799AC-F4EA-4C92-9767-A47EECE7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qFormat/>
    <w:rPr>
      <w:b/>
    </w:rPr>
  </w:style>
  <w:style w:type="paragraph" w:styleId="a5">
    <w:name w:val="header"/>
    <w:basedOn w:val="a"/>
    <w:link w:val="a6"/>
    <w:rsid w:val="00167919"/>
    <w:pPr>
      <w:tabs>
        <w:tab w:val="center" w:pos="4153"/>
        <w:tab w:val="right" w:pos="8306"/>
      </w:tabs>
      <w:snapToGrid w:val="0"/>
      <w:jc w:val="center"/>
    </w:pPr>
    <w:rPr>
      <w:sz w:val="18"/>
      <w:szCs w:val="18"/>
    </w:rPr>
  </w:style>
  <w:style w:type="character" w:customStyle="1" w:styleId="a6">
    <w:name w:val="页眉 字符"/>
    <w:basedOn w:val="a0"/>
    <w:link w:val="a5"/>
    <w:rsid w:val="00167919"/>
    <w:rPr>
      <w:rFonts w:asciiTheme="minorHAnsi" w:eastAsiaTheme="minorEastAsia" w:hAnsiTheme="minorHAnsi" w:cstheme="minorBidi"/>
      <w:kern w:val="2"/>
      <w:sz w:val="18"/>
      <w:szCs w:val="18"/>
    </w:rPr>
  </w:style>
  <w:style w:type="paragraph" w:styleId="a7">
    <w:name w:val="footer"/>
    <w:basedOn w:val="a"/>
    <w:link w:val="a8"/>
    <w:rsid w:val="00167919"/>
    <w:pPr>
      <w:tabs>
        <w:tab w:val="center" w:pos="4153"/>
        <w:tab w:val="right" w:pos="8306"/>
      </w:tabs>
      <w:snapToGrid w:val="0"/>
      <w:jc w:val="left"/>
    </w:pPr>
    <w:rPr>
      <w:sz w:val="18"/>
      <w:szCs w:val="18"/>
    </w:rPr>
  </w:style>
  <w:style w:type="character" w:customStyle="1" w:styleId="a8">
    <w:name w:val="页脚 字符"/>
    <w:basedOn w:val="a0"/>
    <w:link w:val="a7"/>
    <w:rsid w:val="0016791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1241</Words>
  <Characters>7074</Characters>
  <Application>Microsoft Office Word</Application>
  <DocSecurity>0</DocSecurity>
  <Lines>58</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iPad</dc:creator>
  <cp:lastModifiedBy>Vito Wong</cp:lastModifiedBy>
  <cp:revision>2</cp:revision>
  <dcterms:created xsi:type="dcterms:W3CDTF">2025-11-24T16:46:00Z</dcterms:created>
  <dcterms:modified xsi:type="dcterms:W3CDTF">2025-12-26T14:23:00Z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64D60B085AEF3686831B2469C39308D1_31</vt:lpwstr>
  </property>
  <property fmtid="{D5CDD505-2E9C-101B-9397-08002B2CF9AE}" pid="4" name="KSOTemplateDocerSaveRecord">
    <vt:lpwstr>eyJoZGlkIjoiNjQ3NjMzNDE4NTgwZGNkYmQ1MGE2N2ZlNjVjZTFmYzMiLCJ1c2VySWQiOiIxMjYzODU3NjI0In0=</vt:lpwstr>
  </property>
</Properties>
</file>