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1CF0E" w14:textId="66B56393" w:rsidR="00960241" w:rsidRDefault="00000000" w:rsidP="007E2A7A">
      <w:pPr>
        <w:pStyle w:val="a6"/>
        <w:numPr>
          <w:ilvl w:val="0"/>
          <w:numId w:val="1"/>
        </w:numPr>
      </w:pPr>
      <w:r>
        <w:t>世界总体设计</w:t>
      </w:r>
    </w:p>
    <w:p w14:paraId="319624B9" w14:textId="77777777" w:rsidR="00637C0B" w:rsidRDefault="00637C0B" w:rsidP="00637C0B">
      <w:pPr>
        <w:pStyle w:val="paragraph"/>
        <w:spacing w:before="0" w:beforeAutospacing="0" w:after="160" w:afterAutospacing="0"/>
        <w:jc w:val="both"/>
        <w:rPr>
          <w:rFonts w:ascii="宋体" w:eastAsia="宋体" w:hAnsi="宋体"/>
          <w:color w:val="EE0000"/>
          <w:sz w:val="22"/>
          <w:szCs w:val="22"/>
        </w:rPr>
      </w:pPr>
    </w:p>
    <w:p w14:paraId="513646C3" w14:textId="33752EEE" w:rsidR="00637C0B" w:rsidRDefault="00637C0B" w:rsidP="00637C0B">
      <w:pPr>
        <w:pStyle w:val="paragraph"/>
        <w:spacing w:before="0" w:beforeAutospacing="0" w:after="160" w:afterAutospacing="0"/>
        <w:jc w:val="both"/>
      </w:pPr>
      <w:r>
        <w:rPr>
          <w:rFonts w:ascii="宋体" w:eastAsia="宋体" w:hAnsi="宋体" w:hint="eastAsia"/>
          <w:color w:val="EE0000"/>
          <w:sz w:val="22"/>
          <w:szCs w:val="22"/>
        </w:rPr>
        <w:t>黄色：世界可能没有/矛盾</w:t>
      </w:r>
    </w:p>
    <w:p w14:paraId="2A458B18" w14:textId="77777777" w:rsidR="00637C0B" w:rsidRDefault="00637C0B" w:rsidP="00637C0B">
      <w:pPr>
        <w:pStyle w:val="paragraph"/>
        <w:spacing w:before="0" w:beforeAutospacing="0" w:after="160" w:afterAutospacing="0"/>
        <w:jc w:val="both"/>
        <w:rPr>
          <w:rFonts w:hint="eastAsia"/>
        </w:rPr>
      </w:pPr>
      <w:r>
        <w:rPr>
          <w:rFonts w:ascii="宋体" w:eastAsia="宋体" w:hAnsi="宋体" w:hint="eastAsia"/>
          <w:color w:val="EE0000"/>
          <w:sz w:val="22"/>
          <w:szCs w:val="22"/>
        </w:rPr>
        <w:t>蓝色：比较水，可以再拓展</w:t>
      </w:r>
    </w:p>
    <w:p w14:paraId="48F5F2E8" w14:textId="77777777" w:rsidR="00637C0B" w:rsidRDefault="00637C0B" w:rsidP="00637C0B">
      <w:pPr>
        <w:pStyle w:val="paragraph"/>
        <w:spacing w:before="0" w:beforeAutospacing="0" w:after="160" w:afterAutospacing="0"/>
        <w:jc w:val="both"/>
        <w:rPr>
          <w:rFonts w:ascii="宋体" w:eastAsia="宋体" w:hAnsi="宋体"/>
          <w:color w:val="EE0000"/>
          <w:sz w:val="22"/>
          <w:szCs w:val="22"/>
        </w:rPr>
      </w:pPr>
      <w:r>
        <w:rPr>
          <w:rFonts w:ascii="宋体" w:eastAsia="宋体" w:hAnsi="宋体" w:hint="eastAsia"/>
          <w:color w:val="EE0000"/>
          <w:sz w:val="22"/>
          <w:szCs w:val="22"/>
        </w:rPr>
        <w:t> </w:t>
      </w:r>
    </w:p>
    <w:p w14:paraId="1F0F0BD2" w14:textId="61BEF481" w:rsidR="00637C0B" w:rsidRDefault="00637C0B" w:rsidP="00637C0B">
      <w:pPr>
        <w:pStyle w:val="paragraph"/>
        <w:spacing w:before="0" w:beforeAutospacing="0" w:after="160" w:afterAutospacing="0"/>
        <w:jc w:val="both"/>
        <w:rPr>
          <w:rFonts w:hint="eastAsia"/>
        </w:rPr>
      </w:pPr>
      <w:r>
        <w:rPr>
          <w:rFonts w:ascii="宋体" w:eastAsia="宋体" w:hAnsi="宋体" w:hint="eastAsia"/>
          <w:color w:val="EE0000"/>
          <w:sz w:val="22"/>
          <w:szCs w:val="22"/>
        </w:rPr>
        <w:t>写的很不错，</w:t>
      </w:r>
      <w:r w:rsidR="008E5B42">
        <w:rPr>
          <w:rFonts w:ascii="宋体" w:eastAsia="宋体" w:hAnsi="宋体" w:hint="eastAsia"/>
          <w:color w:val="EE0000"/>
          <w:sz w:val="22"/>
          <w:szCs w:val="22"/>
        </w:rPr>
        <w:t>还</w:t>
      </w:r>
      <w:r>
        <w:rPr>
          <w:rFonts w:ascii="宋体" w:eastAsia="宋体" w:hAnsi="宋体" w:hint="eastAsia"/>
          <w:color w:val="EE0000"/>
          <w:sz w:val="22"/>
          <w:szCs w:val="22"/>
        </w:rPr>
        <w:t>有些可以修改的</w:t>
      </w:r>
      <w:r w:rsidR="008E5B42">
        <w:rPr>
          <w:rFonts w:ascii="宋体" w:eastAsia="宋体" w:hAnsi="宋体" w:hint="eastAsia"/>
          <w:color w:val="EE0000"/>
          <w:sz w:val="22"/>
          <w:szCs w:val="22"/>
        </w:rPr>
        <w:t>：</w:t>
      </w:r>
    </w:p>
    <w:p w14:paraId="1E748A4C" w14:textId="77777777" w:rsidR="00637C0B" w:rsidRDefault="00637C0B" w:rsidP="00637C0B">
      <w:pPr>
        <w:pStyle w:val="paragraph"/>
        <w:numPr>
          <w:ilvl w:val="0"/>
          <w:numId w:val="3"/>
        </w:numPr>
        <w:spacing w:before="0" w:beforeAutospacing="0" w:after="160" w:afterAutospacing="0"/>
        <w:ind w:left="360"/>
        <w:jc w:val="both"/>
        <w:rPr>
          <w:rFonts w:hint="eastAsia"/>
        </w:rPr>
      </w:pPr>
      <w:r>
        <w:rPr>
          <w:rFonts w:ascii="宋体" w:eastAsia="宋体" w:hAnsi="宋体" w:hint="eastAsia"/>
          <w:color w:val="EE0000"/>
          <w:sz w:val="22"/>
          <w:szCs w:val="22"/>
        </w:rPr>
        <w:t>总体设计要</w:t>
      </w:r>
      <w:r>
        <w:rPr>
          <w:rFonts w:ascii="宋体" w:eastAsia="宋体" w:hAnsi="宋体" w:hint="eastAsia"/>
          <w:b/>
          <w:bCs/>
          <w:color w:val="EE0000"/>
          <w:sz w:val="22"/>
          <w:szCs w:val="22"/>
        </w:rPr>
        <w:t>突出重点</w:t>
      </w:r>
      <w:r>
        <w:rPr>
          <w:rFonts w:ascii="宋体" w:eastAsia="宋体" w:hAnsi="宋体" w:hint="eastAsia"/>
          <w:color w:val="EE0000"/>
          <w:sz w:val="22"/>
          <w:szCs w:val="22"/>
        </w:rPr>
        <w:t>，不要</w:t>
      </w:r>
      <w:r>
        <w:rPr>
          <w:rFonts w:ascii="宋体" w:eastAsia="宋体" w:hAnsi="宋体" w:hint="eastAsia"/>
          <w:b/>
          <w:bCs/>
          <w:color w:val="EE0000"/>
          <w:sz w:val="22"/>
          <w:szCs w:val="22"/>
        </w:rPr>
        <w:t>流水账</w:t>
      </w:r>
    </w:p>
    <w:p w14:paraId="77EA3B2E" w14:textId="77777777" w:rsidR="00637C0B" w:rsidRDefault="00637C0B" w:rsidP="00637C0B">
      <w:pPr>
        <w:pStyle w:val="paragraph"/>
        <w:spacing w:before="0" w:beforeAutospacing="0" w:after="160" w:afterAutospacing="0"/>
        <w:jc w:val="both"/>
        <w:rPr>
          <w:rFonts w:hint="eastAsia"/>
        </w:rPr>
      </w:pPr>
      <w:r>
        <w:rPr>
          <w:rFonts w:ascii="宋体" w:eastAsia="宋体" w:hAnsi="宋体" w:hint="eastAsia"/>
          <w:color w:val="EE0000"/>
          <w:sz w:val="22"/>
          <w:szCs w:val="22"/>
        </w:rPr>
        <w:t>2. 整体机味重，结构整体都要改，自由发挥</w:t>
      </w:r>
    </w:p>
    <w:p w14:paraId="6FED4F0A" w14:textId="77777777" w:rsidR="00637C0B" w:rsidRDefault="00637C0B" w:rsidP="00637C0B">
      <w:pPr>
        <w:pStyle w:val="paragraph"/>
        <w:spacing w:before="0" w:beforeAutospacing="0" w:after="160" w:afterAutospacing="0"/>
        <w:jc w:val="both"/>
        <w:rPr>
          <w:rFonts w:hint="eastAsia"/>
        </w:rPr>
      </w:pPr>
      <w:r>
        <w:rPr>
          <w:rFonts w:ascii="宋体" w:eastAsia="宋体" w:hAnsi="宋体" w:hint="eastAsia"/>
          <w:color w:val="EE0000"/>
          <w:sz w:val="22"/>
          <w:szCs w:val="22"/>
        </w:rPr>
        <w:t>3. 1.1缩短 1.4缩短 1.5缩短，不要求数据</w:t>
      </w:r>
    </w:p>
    <w:p w14:paraId="7DFE323B" w14:textId="77777777" w:rsidR="00637C0B" w:rsidRDefault="00637C0B" w:rsidP="00637C0B">
      <w:pPr>
        <w:pStyle w:val="paragraph"/>
        <w:spacing w:before="0" w:beforeAutospacing="0" w:after="160" w:afterAutospacing="0"/>
        <w:jc w:val="both"/>
        <w:rPr>
          <w:rFonts w:hint="eastAsia"/>
        </w:rPr>
      </w:pPr>
      <w:r>
        <w:rPr>
          <w:rFonts w:ascii="宋体" w:eastAsia="宋体" w:hAnsi="宋体" w:hint="eastAsia"/>
          <w:color w:val="EE0000"/>
          <w:sz w:val="22"/>
          <w:szCs w:val="22"/>
        </w:rPr>
        <w:t> </w:t>
      </w:r>
    </w:p>
    <w:p w14:paraId="1BDA0E87" w14:textId="77777777" w:rsidR="00637C0B" w:rsidRDefault="00637C0B" w:rsidP="00637C0B">
      <w:pPr>
        <w:pStyle w:val="paragraph"/>
        <w:spacing w:before="0" w:beforeAutospacing="0" w:after="160" w:afterAutospacing="0"/>
        <w:jc w:val="both"/>
        <w:rPr>
          <w:rFonts w:hint="eastAsia"/>
        </w:rPr>
      </w:pPr>
      <w:r>
        <w:rPr>
          <w:rFonts w:ascii="宋体" w:eastAsia="宋体" w:hAnsi="宋体" w:hint="eastAsia"/>
          <w:color w:val="EE0000"/>
          <w:sz w:val="22"/>
          <w:szCs w:val="22"/>
        </w:rPr>
        <w:t>这是第一章，要向读者介绍世界，</w:t>
      </w:r>
      <w:r w:rsidRPr="00637C0B">
        <w:rPr>
          <w:rFonts w:ascii="宋体" w:eastAsia="宋体" w:hAnsi="宋体" w:hint="eastAsia"/>
          <w:b/>
          <w:bCs/>
          <w:color w:val="EE0000"/>
          <w:sz w:val="22"/>
          <w:szCs w:val="22"/>
        </w:rPr>
        <w:t>结合世界理念，自由发挥</w:t>
      </w:r>
      <w:r>
        <w:rPr>
          <w:rFonts w:ascii="宋体" w:eastAsia="宋体" w:hAnsi="宋体" w:hint="eastAsia"/>
          <w:color w:val="EE0000"/>
          <w:sz w:val="22"/>
          <w:szCs w:val="22"/>
        </w:rPr>
        <w:t>，尽量有</w:t>
      </w:r>
      <w:r w:rsidRPr="00637C0B">
        <w:rPr>
          <w:rFonts w:ascii="宋体" w:eastAsia="宋体" w:hAnsi="宋体" w:hint="eastAsia"/>
          <w:b/>
          <w:bCs/>
          <w:color w:val="EE0000"/>
          <w:sz w:val="22"/>
          <w:szCs w:val="22"/>
        </w:rPr>
        <w:t>一半左右</w:t>
      </w:r>
      <w:r>
        <w:rPr>
          <w:rFonts w:ascii="宋体" w:eastAsia="宋体" w:hAnsi="宋体" w:hint="eastAsia"/>
          <w:color w:val="EE0000"/>
          <w:sz w:val="22"/>
          <w:szCs w:val="22"/>
        </w:rPr>
        <w:t>篇幅像是手写，用介绍性的口吻</w:t>
      </w:r>
    </w:p>
    <w:p w14:paraId="760D9903" w14:textId="77777777" w:rsidR="00637C0B" w:rsidRPr="00637C0B" w:rsidRDefault="00637C0B" w:rsidP="00637C0B"/>
    <w:p w14:paraId="4B41264D" w14:textId="0625DFF6" w:rsidR="00960241" w:rsidRDefault="00000000">
      <w:pPr>
        <w:pStyle w:val="1"/>
      </w:pPr>
      <w:r>
        <w:t xml:space="preserve">1.1 </w:t>
      </w:r>
      <w:r>
        <w:rPr>
          <w:rFonts w:hint="eastAsia"/>
        </w:rPr>
        <w:t>三大</w:t>
      </w:r>
      <w:r>
        <w:t>空间设计原则</w:t>
      </w:r>
    </w:p>
    <w:p w14:paraId="1D672620" w14:textId="77777777" w:rsidR="00960241" w:rsidRDefault="00000000">
      <w:pPr>
        <w:rPr>
          <w:rStyle w:val="a8"/>
        </w:rPr>
      </w:pPr>
      <w:r>
        <w:rPr>
          <w:rStyle w:val="a8"/>
          <w:rFonts w:hint="eastAsia"/>
        </w:rPr>
        <w:t>①以人为本的包容性原则：</w:t>
      </w:r>
    </w:p>
    <w:p w14:paraId="192E5E69" w14:textId="77777777" w:rsidR="00960241" w:rsidRDefault="00000000">
      <w:pPr>
        <w:ind w:firstLineChars="200" w:firstLine="440"/>
      </w:pPr>
      <w:r>
        <w:rPr>
          <w:rFonts w:hint="eastAsia"/>
        </w:rPr>
        <w:t>以人自我对自由、多样、创造、高效等各方面的需求为导向，有针对性地设计空间，以满足不同年龄不同人群的具体需求。如：</w:t>
      </w:r>
    </w:p>
    <w:p w14:paraId="22E8B23F" w14:textId="77777777" w:rsidR="00960241" w:rsidRDefault="00000000">
      <w:pPr>
        <w:ind w:firstLineChars="200" w:firstLine="440"/>
      </w:pPr>
      <w:r>
        <w:rPr>
          <w:rFonts w:hint="eastAsia"/>
        </w:rPr>
        <w:t>•创造性需求：居住区（飘萍苑，藕舫苑与迪臣苑）</w:t>
      </w:r>
      <w:r w:rsidRPr="007E2A7A">
        <w:rPr>
          <w:rFonts w:hint="eastAsia"/>
          <w:highlight w:val="yellow"/>
        </w:rPr>
        <w:t>单位可移动式建筑</w:t>
      </w:r>
      <w:r>
        <w:rPr>
          <w:rFonts w:hint="eastAsia"/>
        </w:rPr>
        <w:t>，最大化满足人群对家园个性化设计的需求。</w:t>
      </w:r>
      <w:r>
        <w:t>Workshop</w:t>
      </w:r>
      <w:r>
        <w:rPr>
          <w:rFonts w:hint="eastAsia"/>
        </w:rPr>
        <w:t>为大家多元深入化创造提供独立空间，配备</w:t>
      </w:r>
      <w:r>
        <w:t>Micro - LED /</w:t>
      </w:r>
      <w:r>
        <w:t>电子墨水双模显示层</w:t>
      </w:r>
      <w:r>
        <w:rPr>
          <w:rFonts w:hint="eastAsia"/>
        </w:rPr>
        <w:t>可视化科技，足不出户就能遨游天地，让人的创造力得到最大的激发。</w:t>
      </w:r>
    </w:p>
    <w:p w14:paraId="540AD508" w14:textId="77777777" w:rsidR="00960241" w:rsidRDefault="00000000">
      <w:pPr>
        <w:ind w:firstLineChars="200" w:firstLine="440"/>
      </w:pPr>
      <w:r>
        <w:rPr>
          <w:rFonts w:hint="eastAsia"/>
        </w:rPr>
        <w:t>•多元人群需求：</w:t>
      </w:r>
      <w:r w:rsidRPr="007E2A7A">
        <w:rPr>
          <w:rFonts w:hint="eastAsia"/>
          <w:highlight w:val="yellow"/>
        </w:rPr>
        <w:t>设计中考虑无障碍设施、儿童友好空间、老年人活动区</w:t>
      </w:r>
      <w:r>
        <w:rPr>
          <w:rFonts w:hint="eastAsia"/>
        </w:rPr>
        <w:t>等，多元化标准进行设施建设。</w:t>
      </w:r>
    </w:p>
    <w:p w14:paraId="3E9B6BF3" w14:textId="77777777" w:rsidR="00960241" w:rsidRDefault="00000000">
      <w:pPr>
        <w:rPr>
          <w:rStyle w:val="a8"/>
        </w:rPr>
      </w:pPr>
      <w:r>
        <w:rPr>
          <w:rStyle w:val="a8"/>
          <w:rFonts w:hint="eastAsia"/>
        </w:rPr>
        <w:t>②智慧化功能与美学的有机融合原则</w:t>
      </w:r>
    </w:p>
    <w:p w14:paraId="6B890D29" w14:textId="77777777" w:rsidR="00960241" w:rsidRDefault="00000000">
      <w:pPr>
        <w:ind w:firstLineChars="200" w:firstLine="440"/>
      </w:pPr>
      <w:r>
        <w:rPr>
          <w:rFonts w:hint="eastAsia"/>
        </w:rPr>
        <w:t>空间具备适应未来变化的灵活性，并集成智能技术，且需平衡实用性、艺术性与文化性，在合理融合传统元素与新文化的前提下，融合新世界新技术以满足新世界新需求。</w:t>
      </w:r>
    </w:p>
    <w:p w14:paraId="03CACD77" w14:textId="77777777" w:rsidR="00960241" w:rsidRDefault="00000000">
      <w:pPr>
        <w:ind w:firstLineChars="200" w:firstLine="440"/>
      </w:pPr>
      <w:r>
        <w:rPr>
          <w:rFonts w:hint="eastAsia"/>
        </w:rPr>
        <w:t>•数字孪生运维：通过</w:t>
      </w:r>
      <w:r>
        <w:rPr>
          <w:rFonts w:hint="eastAsia"/>
        </w:rPr>
        <w:t>AI</w:t>
      </w:r>
      <w:r>
        <w:rPr>
          <w:rFonts w:hint="eastAsia"/>
        </w:rPr>
        <w:t>实时监控能源消耗、交通流量，动态调整空间功能。</w:t>
      </w:r>
    </w:p>
    <w:p w14:paraId="1639138B" w14:textId="77777777" w:rsidR="00960241" w:rsidRDefault="00000000">
      <w:pPr>
        <w:ind w:firstLineChars="200" w:firstLine="440"/>
      </w:pPr>
      <w:r>
        <w:rPr>
          <w:rFonts w:hint="eastAsia"/>
        </w:rPr>
        <w:t>•文化</w:t>
      </w:r>
      <w:r w:rsidRPr="007E2A7A">
        <w:rPr>
          <w:rFonts w:hint="eastAsia"/>
          <w:highlight w:val="yellow"/>
        </w:rPr>
        <w:t>符号转译：从本地文化（如大连的海洋文化、工业历史）提取视觉元素，例如</w:t>
      </w:r>
      <w:r>
        <w:rPr>
          <w:rFonts w:hint="eastAsia"/>
        </w:rPr>
        <w:t>用波浪形屋顶隐喻海洋主题。</w:t>
      </w:r>
    </w:p>
    <w:p w14:paraId="26AF6FA6" w14:textId="77777777" w:rsidR="00960241" w:rsidRPr="007E2A7A" w:rsidRDefault="00000000">
      <w:pPr>
        <w:ind w:firstLineChars="200" w:firstLine="440"/>
        <w:rPr>
          <w:highlight w:val="yellow"/>
        </w:rPr>
      </w:pPr>
      <w:r>
        <w:rPr>
          <w:rFonts w:hint="eastAsia"/>
        </w:rPr>
        <w:t>•美学技术</w:t>
      </w:r>
      <w:r w:rsidRPr="007E2A7A">
        <w:rPr>
          <w:rFonts w:hint="eastAsia"/>
          <w:highlight w:val="yellow"/>
        </w:rPr>
        <w:t>化：通过数字建模优化空间比例，如采用</w:t>
      </w:r>
      <w:r w:rsidRPr="007E2A7A">
        <w:rPr>
          <w:rFonts w:hint="eastAsia"/>
          <w:highlight w:val="yellow"/>
        </w:rPr>
        <w:t>750mm</w:t>
      </w:r>
      <w:r w:rsidRPr="007E2A7A">
        <w:rPr>
          <w:rFonts w:hint="eastAsia"/>
          <w:highlight w:val="yellow"/>
        </w:rPr>
        <w:t>×</w:t>
      </w:r>
      <w:r w:rsidRPr="007E2A7A">
        <w:rPr>
          <w:rFonts w:hint="eastAsia"/>
          <w:highlight w:val="yellow"/>
        </w:rPr>
        <w:t>1500mm</w:t>
      </w:r>
      <w:r w:rsidRPr="007E2A7A">
        <w:rPr>
          <w:rFonts w:hint="eastAsia"/>
          <w:highlight w:val="yellow"/>
        </w:rPr>
        <w:t>大规格岩板减少拼接缝，提升美观与清洁效率。</w:t>
      </w:r>
    </w:p>
    <w:p w14:paraId="335AF6F7" w14:textId="77777777" w:rsidR="00960241" w:rsidRDefault="00000000">
      <w:pPr>
        <w:rPr>
          <w:rStyle w:val="a8"/>
        </w:rPr>
      </w:pPr>
      <w:r>
        <w:rPr>
          <w:rStyle w:val="a8"/>
          <w:rFonts w:hint="eastAsia"/>
        </w:rPr>
        <w:lastRenderedPageBreak/>
        <w:t>③</w:t>
      </w:r>
      <w:r>
        <w:rPr>
          <w:rStyle w:val="a8"/>
        </w:rPr>
        <w:t>空间叙事与记忆承载原则</w:t>
      </w:r>
    </w:p>
    <w:p w14:paraId="43C13C65" w14:textId="77777777" w:rsidR="00960241" w:rsidRDefault="00000000">
      <w:pPr>
        <w:ind w:firstLineChars="200" w:firstLine="440"/>
      </w:pPr>
      <w:r>
        <w:t>空间不仅是功能的容器，更是故事的讲述者和集体记忆的载体。通过设计传递特定的叙事，能深刻影响空间使用者的情感与认知。</w:t>
      </w:r>
    </w:p>
    <w:p w14:paraId="6736C049" w14:textId="77777777" w:rsidR="00960241" w:rsidRDefault="00000000">
      <w:pPr>
        <w:ind w:firstLineChars="200" w:firstLine="440"/>
      </w:pPr>
      <w:r>
        <w:rPr>
          <w:rFonts w:hint="eastAsia"/>
        </w:rPr>
        <w:t>•雪王灯塔：独特</w:t>
      </w:r>
      <w:r w:rsidRPr="007E2A7A">
        <w:rPr>
          <w:rFonts w:hint="eastAsia"/>
          <w:highlight w:val="cyan"/>
        </w:rPr>
        <w:t>的雪王设计已使其成为地标，熟悉的造型也已成为大家共同的文化记忆点，诉说着守护与分享的故事。而当雪王从商业</w:t>
      </w:r>
      <w:r w:rsidRPr="007E2A7A">
        <w:rPr>
          <w:highlight w:val="cyan"/>
        </w:rPr>
        <w:t>IP</w:t>
      </w:r>
      <w:r w:rsidRPr="007E2A7A">
        <w:rPr>
          <w:rFonts w:hint="eastAsia"/>
          <w:highlight w:val="cyan"/>
        </w:rPr>
        <w:t>升华，灯塔本身也从一个品牌形象，转变为承载了新世界社区温情、联结与共同记忆的独特文</w:t>
      </w:r>
      <w:r>
        <w:rPr>
          <w:rFonts w:hint="eastAsia"/>
        </w:rPr>
        <w:t>化符号。</w:t>
      </w:r>
    </w:p>
    <w:p w14:paraId="3A7BA94E" w14:textId="77777777" w:rsidR="00960241" w:rsidRDefault="00000000">
      <w:pPr>
        <w:pStyle w:val="1"/>
      </w:pPr>
      <w:r>
        <w:t xml:space="preserve">1.2 </w:t>
      </w:r>
      <w:r>
        <w:t>地理选址与自然条件</w:t>
      </w:r>
    </w:p>
    <w:p w14:paraId="351AE7AF" w14:textId="77777777" w:rsidR="00960241" w:rsidRDefault="00000000">
      <w:pPr>
        <w:ind w:firstLineChars="200" w:firstLine="440"/>
      </w:pPr>
      <w:r>
        <w:rPr>
          <w:rFonts w:hint="eastAsia"/>
        </w:rPr>
        <w:t>日轮之冕选址于中国辽宁省大连市小平岛（</w:t>
      </w:r>
      <w:r>
        <w:rPr>
          <w:rFonts w:hint="eastAsia"/>
        </w:rPr>
        <w:t xml:space="preserve"> 38</w:t>
      </w:r>
      <w:r>
        <w:rPr>
          <w:rFonts w:hint="eastAsia"/>
        </w:rPr>
        <w:t>°</w:t>
      </w:r>
      <w:r>
        <w:rPr>
          <w:rFonts w:hint="eastAsia"/>
        </w:rPr>
        <w:t>49</w:t>
      </w:r>
      <w:r>
        <w:rPr>
          <w:rFonts w:hint="eastAsia"/>
        </w:rPr>
        <w:t>′</w:t>
      </w:r>
      <w:r>
        <w:rPr>
          <w:rFonts w:hint="eastAsia"/>
        </w:rPr>
        <w:t>28.62</w:t>
      </w:r>
      <w:r>
        <w:rPr>
          <w:rFonts w:hint="eastAsia"/>
        </w:rPr>
        <w:t>″</w:t>
      </w:r>
      <w:r>
        <w:rPr>
          <w:rFonts w:hint="eastAsia"/>
        </w:rPr>
        <w:t>N</w:t>
      </w:r>
      <w:r>
        <w:rPr>
          <w:rFonts w:hint="eastAsia"/>
        </w:rPr>
        <w:t>、</w:t>
      </w:r>
      <w:r>
        <w:rPr>
          <w:rFonts w:hint="eastAsia"/>
        </w:rPr>
        <w:t>121</w:t>
      </w:r>
      <w:r>
        <w:rPr>
          <w:rFonts w:hint="eastAsia"/>
        </w:rPr>
        <w:t>°</w:t>
      </w:r>
      <w:r>
        <w:rPr>
          <w:rFonts w:hint="eastAsia"/>
        </w:rPr>
        <w:t>29</w:t>
      </w:r>
      <w:r>
        <w:rPr>
          <w:rFonts w:hint="eastAsia"/>
        </w:rPr>
        <w:t>′</w:t>
      </w:r>
      <w:r>
        <w:rPr>
          <w:rFonts w:hint="eastAsia"/>
        </w:rPr>
        <w:t>39.67</w:t>
      </w:r>
      <w:r>
        <w:rPr>
          <w:rFonts w:hint="eastAsia"/>
        </w:rPr>
        <w:t>″</w:t>
      </w:r>
      <w:r>
        <w:rPr>
          <w:rFonts w:hint="eastAsia"/>
        </w:rPr>
        <w:t>E</w:t>
      </w:r>
      <w:r>
        <w:rPr>
          <w:rFonts w:hint="eastAsia"/>
        </w:rPr>
        <w:t>）。小平岛位于大连西南海岸，陆路与海路交通条件便利。</w:t>
      </w:r>
    </w:p>
    <w:p w14:paraId="6436EFF3" w14:textId="77777777" w:rsidR="00960241" w:rsidRDefault="00000000">
      <w:pPr>
        <w:ind w:firstLineChars="200" w:firstLine="442"/>
      </w:pPr>
      <w:r>
        <w:rPr>
          <w:rStyle w:val="a8"/>
          <w:rFonts w:hint="eastAsia"/>
        </w:rPr>
        <w:t>地形地貌</w:t>
      </w:r>
      <w:r>
        <w:rPr>
          <w:rFonts w:hint="eastAsia"/>
        </w:rPr>
        <w:t>上，小平岛为典型近海岛屿格局：三面临海，北侧背山，海岸线曲折、港湾自然，原生植被茂盛，拥有良好的自然生态基础。这种“依山面海”的地理结构，为未来海洋利用、港口设施建设、滨海居住与生态绿化提供了天然优势。</w:t>
      </w:r>
    </w:p>
    <w:p w14:paraId="2AA03324" w14:textId="77777777" w:rsidR="00960241" w:rsidRDefault="00000000">
      <w:pPr>
        <w:ind w:firstLineChars="200" w:firstLine="442"/>
      </w:pPr>
      <w:r>
        <w:rPr>
          <w:rStyle w:val="a8"/>
          <w:rFonts w:hint="eastAsia"/>
        </w:rPr>
        <w:t>气候条件</w:t>
      </w:r>
      <w:r>
        <w:rPr>
          <w:rFonts w:hint="eastAsia"/>
        </w:rPr>
        <w:t>方面，小平岛所属的大连区域属暖温带大陆性季风气候，兼具海洋性影响。年平均气温约为</w:t>
      </w:r>
      <w:r>
        <w:rPr>
          <w:rFonts w:hint="eastAsia"/>
        </w:rPr>
        <w:t xml:space="preserve"> 10 </w:t>
      </w:r>
      <w:r>
        <w:rPr>
          <w:rFonts w:hint="eastAsia"/>
        </w:rPr>
        <w:t>℃–</w:t>
      </w:r>
      <w:r>
        <w:rPr>
          <w:rFonts w:hint="eastAsia"/>
        </w:rPr>
        <w:t xml:space="preserve">12 </w:t>
      </w:r>
      <w:r>
        <w:rPr>
          <w:rFonts w:hint="eastAsia"/>
        </w:rPr>
        <w:t>℃</w:t>
      </w:r>
      <w:r>
        <w:rPr>
          <w:rFonts w:hint="eastAsia"/>
        </w:rPr>
        <w:t xml:space="preserve"> </w:t>
      </w:r>
      <w:r>
        <w:rPr>
          <w:rFonts w:hint="eastAsia"/>
        </w:rPr>
        <w:t>左右，夏季温和，冬无极端严寒，年平均气温适宜居住。</w:t>
      </w:r>
    </w:p>
    <w:p w14:paraId="5ED6BB33" w14:textId="77777777" w:rsidR="00960241" w:rsidRDefault="00000000">
      <w:pPr>
        <w:ind w:firstLineChars="200" w:firstLine="442"/>
      </w:pPr>
      <w:r>
        <w:rPr>
          <w:rStyle w:val="a8"/>
          <w:rFonts w:hint="eastAsia"/>
        </w:rPr>
        <w:t>年降水量</w:t>
      </w:r>
      <w:r>
        <w:rPr>
          <w:rFonts w:hint="eastAsia"/>
        </w:rPr>
        <w:t>集中在夏季，全年降水量约为</w:t>
      </w:r>
      <w:r>
        <w:rPr>
          <w:rFonts w:hint="eastAsia"/>
        </w:rPr>
        <w:t xml:space="preserve"> 580</w:t>
      </w:r>
      <w:r>
        <w:rPr>
          <w:rFonts w:hint="eastAsia"/>
        </w:rPr>
        <w:t>–</w:t>
      </w:r>
      <w:r>
        <w:rPr>
          <w:rFonts w:hint="eastAsia"/>
        </w:rPr>
        <w:t xml:space="preserve">800 </w:t>
      </w:r>
      <w:r>
        <w:rPr>
          <w:rFonts w:hint="eastAsia"/>
        </w:rPr>
        <w:t>毫米；夏季降水集中在</w:t>
      </w:r>
      <w:r>
        <w:rPr>
          <w:rFonts w:hint="eastAsia"/>
        </w:rPr>
        <w:t xml:space="preserve"> 6</w:t>
      </w:r>
      <w:r>
        <w:rPr>
          <w:rFonts w:hint="eastAsia"/>
        </w:rPr>
        <w:t>–</w:t>
      </w:r>
      <w:r>
        <w:rPr>
          <w:rFonts w:hint="eastAsia"/>
        </w:rPr>
        <w:t xml:space="preserve">8 </w:t>
      </w:r>
      <w:r>
        <w:rPr>
          <w:rFonts w:hint="eastAsia"/>
        </w:rPr>
        <w:t>月份，占全年降水的大部分。</w:t>
      </w:r>
      <w:r>
        <w:rPr>
          <w:rStyle w:val="a8"/>
          <w:rFonts w:hint="eastAsia"/>
        </w:rPr>
        <w:t>年日照</w:t>
      </w:r>
      <w:r>
        <w:rPr>
          <w:rFonts w:hint="eastAsia"/>
        </w:rPr>
        <w:t>充足，年均晴朗日照时数约</w:t>
      </w:r>
      <w:r>
        <w:rPr>
          <w:rFonts w:hint="eastAsia"/>
        </w:rPr>
        <w:t xml:space="preserve"> 2,600 </w:t>
      </w:r>
      <w:r>
        <w:rPr>
          <w:rFonts w:hint="eastAsia"/>
        </w:rPr>
        <w:t>多小时。此气候兼顾温和、多雨、阳光充足，有利于农业、园艺、生态绿化与居民日常生活。</w:t>
      </w:r>
    </w:p>
    <w:p w14:paraId="6ED88C89" w14:textId="77777777" w:rsidR="00960241" w:rsidRDefault="00000000">
      <w:pPr>
        <w:ind w:firstLineChars="200" w:firstLine="442"/>
      </w:pPr>
      <w:r>
        <w:rPr>
          <w:rStyle w:val="a8"/>
          <w:rFonts w:hint="eastAsia"/>
        </w:rPr>
        <w:t>海洋与滨海资源</w:t>
      </w:r>
      <w:r>
        <w:rPr>
          <w:rFonts w:hint="eastAsia"/>
        </w:rPr>
        <w:t>丰富——小平岛作为沿海社区，以海岸、港湾、海洋资源闻名。其三面临海、靠山背海的地形，以及天然港湾与海域，使其具备渔业、海洋运输、海洋经济、滨海休闲等多种潜在用途。</w:t>
      </w:r>
    </w:p>
    <w:p w14:paraId="04944B06" w14:textId="77777777" w:rsidR="00960241" w:rsidRDefault="00000000">
      <w:pPr>
        <w:ind w:firstLineChars="200" w:firstLine="440"/>
      </w:pPr>
      <w:r>
        <w:rPr>
          <w:rFonts w:hint="eastAsia"/>
        </w:rPr>
        <w:t>综合来看，小平岛兼具海洋资源、宜人气候、生态基础与交通区位优势，是极具优势的一个选择。它既适宜作为港口／海洋基地，也适合规划为生态居住区与资源利用中心。当然，鉴于沿海与港湾环境，未来规划中考虑了海岸防护、潮汐／海风／海洋气象影响、防洪防潮与生态保护等必要设计，以确保人类社会与自然环境的协调发展。</w:t>
      </w:r>
    </w:p>
    <w:p w14:paraId="480EE458" w14:textId="77777777" w:rsidR="00960241" w:rsidRDefault="00960241">
      <w:pPr>
        <w:ind w:firstLineChars="200" w:firstLine="440"/>
      </w:pPr>
    </w:p>
    <w:p w14:paraId="7E5AE286" w14:textId="77777777" w:rsidR="00960241" w:rsidRDefault="00000000">
      <w:pPr>
        <w:pStyle w:val="1"/>
      </w:pPr>
      <w:r>
        <w:t xml:space="preserve">1.3 </w:t>
      </w:r>
      <w:r>
        <w:t>建筑总体布局</w:t>
      </w:r>
    </w:p>
    <w:p w14:paraId="7FB137B8" w14:textId="77777777" w:rsidR="00960241" w:rsidRDefault="00000000">
      <w:pPr>
        <w:ind w:firstLineChars="200" w:firstLine="440"/>
      </w:pPr>
      <w:r>
        <w:rPr>
          <w:rFonts w:hint="eastAsia"/>
        </w:rPr>
        <w:t>根据日轮之冕西南向开口的月牙形地形，我们的建筑主要环绕月牙海湾进行分布。总体分为行政</w:t>
      </w:r>
      <w:r>
        <w:rPr>
          <w:rFonts w:hint="eastAsia"/>
        </w:rPr>
        <w:t>/</w:t>
      </w:r>
      <w:r>
        <w:rPr>
          <w:rFonts w:hint="eastAsia"/>
        </w:rPr>
        <w:t>军事区、居住区、农业区、工业区、绿地、道路六大板块。</w:t>
      </w:r>
    </w:p>
    <w:p w14:paraId="4CB39696" w14:textId="77777777" w:rsidR="00960241" w:rsidRDefault="00000000">
      <w:pPr>
        <w:ind w:firstLineChars="200" w:firstLine="442"/>
      </w:pPr>
      <w:r>
        <w:rPr>
          <w:rStyle w:val="a8"/>
          <w:rFonts w:hint="eastAsia"/>
        </w:rPr>
        <w:t>工业区</w:t>
      </w:r>
      <w:r>
        <w:rPr>
          <w:rFonts w:hint="eastAsia"/>
        </w:rPr>
        <w:t>：位于最北侧，由遵义院与天目院各</w:t>
      </w:r>
      <w:r>
        <w:t>4</w:t>
      </w:r>
      <w:r>
        <w:rPr>
          <w:rFonts w:hint="eastAsia"/>
        </w:rPr>
        <w:t>幢构成工业建筑群。</w:t>
      </w:r>
    </w:p>
    <w:p w14:paraId="20A4E55D" w14:textId="77777777" w:rsidR="00960241" w:rsidRDefault="00000000">
      <w:pPr>
        <w:ind w:firstLineChars="200" w:firstLine="442"/>
      </w:pPr>
      <w:r>
        <w:rPr>
          <w:rStyle w:val="a8"/>
          <w:rFonts w:hint="eastAsia"/>
        </w:rPr>
        <w:t>居住区</w:t>
      </w:r>
      <w:r>
        <w:rPr>
          <w:rFonts w:hint="eastAsia"/>
        </w:rPr>
        <w:t>：位于东侧，由飘萍苑</w:t>
      </w:r>
      <w:r>
        <w:t>3</w:t>
      </w:r>
      <w:r>
        <w:rPr>
          <w:rFonts w:hint="eastAsia"/>
        </w:rPr>
        <w:t>幢，藕舫苑</w:t>
      </w:r>
      <w:r>
        <w:t>2</w:t>
      </w:r>
      <w:r>
        <w:rPr>
          <w:rFonts w:hint="eastAsia"/>
        </w:rPr>
        <w:t>幢，迪臣苑</w:t>
      </w:r>
      <w:r>
        <w:t>2</w:t>
      </w:r>
      <w:r>
        <w:rPr>
          <w:rFonts w:hint="eastAsia"/>
        </w:rPr>
        <w:t>幢，共</w:t>
      </w:r>
      <w:r>
        <w:t>7</w:t>
      </w:r>
      <w:r>
        <w:rPr>
          <w:rFonts w:hint="eastAsia"/>
        </w:rPr>
        <w:t>幢构成。</w:t>
      </w:r>
    </w:p>
    <w:p w14:paraId="70FFF7B3" w14:textId="77777777" w:rsidR="00960241" w:rsidRDefault="00000000">
      <w:pPr>
        <w:ind w:firstLineChars="200" w:firstLine="440"/>
      </w:pPr>
      <w:r>
        <w:rPr>
          <w:rFonts w:hint="eastAsia"/>
        </w:rPr>
        <w:t>行政</w:t>
      </w:r>
      <w:r>
        <w:t>/</w:t>
      </w:r>
      <w:r>
        <w:rPr>
          <w:rFonts w:hint="eastAsia"/>
        </w:rPr>
        <w:t>军事区：居住区西侧为行政区的和同厅，建德院与启真院；南偏东方向为行政</w:t>
      </w:r>
      <w:r>
        <w:t>/</w:t>
      </w:r>
      <w:r>
        <w:rPr>
          <w:rFonts w:hint="eastAsia"/>
        </w:rPr>
        <w:t>军事区中的玉湖院与紫荆院。</w:t>
      </w:r>
    </w:p>
    <w:p w14:paraId="26CE82D8" w14:textId="77777777" w:rsidR="00960241" w:rsidRDefault="00000000">
      <w:pPr>
        <w:ind w:firstLineChars="200" w:firstLine="442"/>
      </w:pPr>
      <w:r>
        <w:rPr>
          <w:rStyle w:val="a8"/>
          <w:rFonts w:hint="eastAsia"/>
        </w:rPr>
        <w:lastRenderedPageBreak/>
        <w:t>农业区</w:t>
      </w:r>
      <w:r>
        <w:rPr>
          <w:rFonts w:hint="eastAsia"/>
        </w:rPr>
        <w:t>：云峰塔、蓝田塔与丹青塔分别分布在居住区的北侧、东侧与南侧。</w:t>
      </w:r>
    </w:p>
    <w:p w14:paraId="5B7E52D6" w14:textId="77777777" w:rsidR="00960241" w:rsidRDefault="00000000">
      <w:pPr>
        <w:ind w:firstLineChars="200" w:firstLine="442"/>
      </w:pPr>
      <w:r>
        <w:rPr>
          <w:rStyle w:val="a8"/>
          <w:rFonts w:hint="eastAsia"/>
        </w:rPr>
        <w:t>绿地</w:t>
      </w:r>
      <w:r>
        <w:rPr>
          <w:rFonts w:hint="eastAsia"/>
        </w:rPr>
        <w:t>：大片绿地分散包围着整个日轮之冕，其余小块分散分布于城市间隙。</w:t>
      </w:r>
    </w:p>
    <w:p w14:paraId="183CC8B1" w14:textId="77777777" w:rsidR="00960241" w:rsidRDefault="00000000">
      <w:pPr>
        <w:ind w:firstLineChars="200" w:firstLine="442"/>
      </w:pPr>
      <w:r>
        <w:rPr>
          <w:rStyle w:val="a8"/>
          <w:rFonts w:hint="eastAsia"/>
        </w:rPr>
        <w:t>道路</w:t>
      </w:r>
      <w:r>
        <w:rPr>
          <w:rFonts w:hint="eastAsia"/>
        </w:rPr>
        <w:t>：分布于各个建筑之间，串联各个建筑，同时有道路（</w:t>
      </w:r>
      <w:r>
        <w:t>3F</w:t>
      </w:r>
      <w:r>
        <w:rPr>
          <w:rFonts w:hint="eastAsia"/>
        </w:rPr>
        <w:t>）连接高层建筑。</w:t>
      </w:r>
    </w:p>
    <w:p w14:paraId="6EEBE5D2" w14:textId="77777777" w:rsidR="00960241" w:rsidRDefault="00000000">
      <w:pPr>
        <w:ind w:firstLineChars="200" w:firstLine="442"/>
      </w:pPr>
      <w:r>
        <w:rPr>
          <w:rStyle w:val="a8"/>
          <w:rFonts w:hint="eastAsia"/>
        </w:rPr>
        <w:t>其他</w:t>
      </w:r>
      <w:r>
        <w:rPr>
          <w:rFonts w:hint="eastAsia"/>
        </w:rPr>
        <w:t>：雪王灯塔位于所有建筑南侧，成为我们世界的精神地标。（详见第四章）</w:t>
      </w:r>
    </w:p>
    <w:p w14:paraId="6ADC99FB" w14:textId="77777777" w:rsidR="00960241" w:rsidRDefault="00000000">
      <w:pPr>
        <w:pStyle w:val="1"/>
      </w:pPr>
      <w:r>
        <w:t xml:space="preserve">1.4 </w:t>
      </w:r>
      <w:r>
        <w:t>能源、资源、社会三大系统的总体耦合结构</w:t>
      </w:r>
    </w:p>
    <w:p w14:paraId="2C0C1338" w14:textId="77777777" w:rsidR="00960241" w:rsidRDefault="00000000">
      <w:pPr>
        <w:ind w:firstLineChars="200" w:firstLine="440"/>
      </w:pPr>
      <w:r>
        <w:rPr>
          <w:rFonts w:hint="eastAsia"/>
        </w:rPr>
        <w:t>能源、资源与社会治理三大系统由中央超级</w:t>
      </w:r>
      <w:r>
        <w:rPr>
          <w:rFonts w:hint="eastAsia"/>
        </w:rPr>
        <w:t xml:space="preserve"> A</w:t>
      </w:r>
      <w:r>
        <w:rPr>
          <w:rFonts w:hint="eastAsia"/>
        </w:rPr>
        <w:t>统一协调。其任务是稳定三大基础系统之间的耦合关系，使文明运行保持高效、可持续与透明。</w:t>
      </w:r>
    </w:p>
    <w:p w14:paraId="664A0782" w14:textId="77777777" w:rsidR="00960241" w:rsidRDefault="00000000">
      <w:pPr>
        <w:ind w:firstLineChars="200" w:firstLine="442"/>
        <w:rPr>
          <w:rStyle w:val="a8"/>
        </w:rPr>
      </w:pPr>
      <w:r>
        <w:rPr>
          <w:rStyle w:val="a8"/>
          <w:rFonts w:hint="eastAsia"/>
        </w:rPr>
        <w:t>（</w:t>
      </w:r>
      <w:r>
        <w:rPr>
          <w:rStyle w:val="a8"/>
          <w:rFonts w:hint="eastAsia"/>
        </w:rPr>
        <w:t>1</w:t>
      </w:r>
      <w:r>
        <w:rPr>
          <w:rStyle w:val="a8"/>
          <w:rFonts w:hint="eastAsia"/>
        </w:rPr>
        <w:t>）能源系统：以核能为核心</w:t>
      </w:r>
    </w:p>
    <w:p w14:paraId="410F00F6" w14:textId="77777777" w:rsidR="00960241" w:rsidRDefault="00000000">
      <w:pPr>
        <w:ind w:firstLine="420"/>
      </w:pPr>
      <w:r>
        <w:rPr>
          <w:rFonts w:hint="eastAsia"/>
        </w:rPr>
        <w:t>文明主要能源由核能设施提供，承担基荷与关键基础设施需求；原油与煤炭仅作为调峰、交通与特殊工业的辅助能源。</w:t>
      </w:r>
      <w:r>
        <w:rPr>
          <w:rFonts w:hint="eastAsia"/>
        </w:rPr>
        <w:t>AI</w:t>
      </w:r>
      <w:r>
        <w:rPr>
          <w:rFonts w:hint="eastAsia"/>
        </w:rPr>
        <w:t>负责：</w:t>
      </w:r>
    </w:p>
    <w:p w14:paraId="77A4A512" w14:textId="77777777" w:rsidR="00960241" w:rsidRDefault="00000000">
      <w:pPr>
        <w:ind w:firstLineChars="200" w:firstLine="440"/>
      </w:pPr>
      <w:r>
        <w:rPr>
          <w:rFonts w:hint="eastAsia"/>
        </w:rPr>
        <w:t xml:space="preserve">* </w:t>
      </w:r>
      <w:r>
        <w:rPr>
          <w:rFonts w:hint="eastAsia"/>
        </w:rPr>
        <w:t>动态调度核能—油煤双结构，维持能源安全冗余；</w:t>
      </w:r>
    </w:p>
    <w:p w14:paraId="025D9D3A" w14:textId="77777777" w:rsidR="00960241" w:rsidRDefault="00000000">
      <w:pPr>
        <w:ind w:firstLineChars="200" w:firstLine="440"/>
      </w:pPr>
      <w:r>
        <w:rPr>
          <w:rFonts w:hint="eastAsia"/>
        </w:rPr>
        <w:t xml:space="preserve">* </w:t>
      </w:r>
      <w:r>
        <w:rPr>
          <w:rFonts w:hint="eastAsia"/>
        </w:rPr>
        <w:t>预测季节性负荷，优化能量流向；</w:t>
      </w:r>
    </w:p>
    <w:p w14:paraId="5C656CF2" w14:textId="77777777" w:rsidR="00960241" w:rsidRDefault="00000000">
      <w:pPr>
        <w:ind w:firstLineChars="200" w:firstLine="440"/>
      </w:pPr>
      <w:r>
        <w:rPr>
          <w:rFonts w:hint="eastAsia"/>
        </w:rPr>
        <w:t xml:space="preserve">* </w:t>
      </w:r>
      <w:r>
        <w:rPr>
          <w:rFonts w:hint="eastAsia"/>
        </w:rPr>
        <w:t>将多余能源转向海水淡化等长期战略项目。</w:t>
      </w:r>
    </w:p>
    <w:p w14:paraId="3A116692" w14:textId="77777777" w:rsidR="00960241" w:rsidRDefault="00000000">
      <w:pPr>
        <w:ind w:firstLineChars="200" w:firstLine="442"/>
        <w:rPr>
          <w:rStyle w:val="a8"/>
        </w:rPr>
      </w:pPr>
      <w:r>
        <w:rPr>
          <w:rStyle w:val="a8"/>
          <w:rFonts w:hint="eastAsia"/>
        </w:rPr>
        <w:t>（</w:t>
      </w:r>
      <w:r>
        <w:rPr>
          <w:rStyle w:val="a8"/>
          <w:rFonts w:hint="eastAsia"/>
        </w:rPr>
        <w:t>2</w:t>
      </w:r>
      <w:r>
        <w:rPr>
          <w:rStyle w:val="a8"/>
          <w:rFonts w:hint="eastAsia"/>
        </w:rPr>
        <w:t>）资源系统：公有制下的透明共享体系</w:t>
      </w:r>
    </w:p>
    <w:p w14:paraId="4898B3AC" w14:textId="77777777" w:rsidR="00960241" w:rsidRDefault="00000000">
      <w:pPr>
        <w:ind w:firstLineChars="200" w:firstLine="440"/>
      </w:pPr>
      <w:r>
        <w:rPr>
          <w:rFonts w:hint="eastAsia"/>
        </w:rPr>
        <w:t>自然资源（含土地、能源、矿产、水等）均实行公有制与统一数据库登记，由“</w:t>
      </w:r>
      <w:r w:rsidRPr="007E2A7A">
        <w:rPr>
          <w:rFonts w:hint="eastAsia"/>
          <w:highlight w:val="yellow"/>
        </w:rPr>
        <w:t>火种”</w:t>
      </w:r>
      <w:r>
        <w:rPr>
          <w:rFonts w:hint="eastAsia"/>
        </w:rPr>
        <w:t>进行资源调节。核心机制包括：</w:t>
      </w:r>
    </w:p>
    <w:p w14:paraId="2531B603" w14:textId="77777777" w:rsidR="00960241" w:rsidRDefault="00000000">
      <w:pPr>
        <w:ind w:firstLineChars="200" w:firstLine="440"/>
      </w:pPr>
      <w:r>
        <w:rPr>
          <w:rFonts w:hint="eastAsia"/>
        </w:rPr>
        <w:t xml:space="preserve">* </w:t>
      </w:r>
      <w:r>
        <w:rPr>
          <w:rFonts w:hint="eastAsia"/>
        </w:rPr>
        <w:t>按人口与需求动态分配基础资源；</w:t>
      </w:r>
    </w:p>
    <w:p w14:paraId="7F205379" w14:textId="77777777" w:rsidR="00960241" w:rsidRDefault="00000000">
      <w:pPr>
        <w:ind w:firstLineChars="200" w:firstLine="440"/>
      </w:pPr>
      <w:r>
        <w:rPr>
          <w:rFonts w:hint="eastAsia"/>
        </w:rPr>
        <w:t xml:space="preserve">* </w:t>
      </w:r>
      <w:r>
        <w:rPr>
          <w:rFonts w:hint="eastAsia"/>
        </w:rPr>
        <w:t>精准监测资源库存，预警潜在短缺；</w:t>
      </w:r>
    </w:p>
    <w:p w14:paraId="162F469D" w14:textId="77777777" w:rsidR="00960241" w:rsidRDefault="00000000">
      <w:pPr>
        <w:ind w:firstLineChars="200" w:firstLine="440"/>
      </w:pPr>
      <w:r>
        <w:rPr>
          <w:rFonts w:hint="eastAsia"/>
        </w:rPr>
        <w:t xml:space="preserve">* </w:t>
      </w:r>
      <w:r>
        <w:rPr>
          <w:rFonts w:hint="eastAsia"/>
        </w:rPr>
        <w:t>推动循环利用与材料回收，提高整体物质效率。</w:t>
      </w:r>
    </w:p>
    <w:p w14:paraId="2EB4C00A" w14:textId="77777777" w:rsidR="00960241" w:rsidRDefault="00000000">
      <w:pPr>
        <w:ind w:firstLineChars="200" w:firstLine="440"/>
      </w:pPr>
      <w:r>
        <w:rPr>
          <w:rFonts w:hint="eastAsia"/>
        </w:rPr>
        <w:t>在资源总体较充足的情况下，系统强调分配透明与可追溯，避免无序竞争。</w:t>
      </w:r>
    </w:p>
    <w:p w14:paraId="673812A7" w14:textId="77777777" w:rsidR="00960241" w:rsidRDefault="00000000">
      <w:pPr>
        <w:ind w:firstLineChars="200" w:firstLine="442"/>
        <w:rPr>
          <w:rStyle w:val="a8"/>
        </w:rPr>
      </w:pPr>
      <w:r>
        <w:rPr>
          <w:rStyle w:val="a8"/>
          <w:rFonts w:hint="eastAsia"/>
        </w:rPr>
        <w:t xml:space="preserve"> (3) </w:t>
      </w:r>
      <w:r>
        <w:rPr>
          <w:rStyle w:val="a8"/>
          <w:rFonts w:hint="eastAsia"/>
        </w:rPr>
        <w:t>社会系统：</w:t>
      </w:r>
      <w:r>
        <w:rPr>
          <w:rStyle w:val="a8"/>
          <w:rFonts w:hint="eastAsia"/>
        </w:rPr>
        <w:t>AI</w:t>
      </w:r>
      <w:r>
        <w:rPr>
          <w:rStyle w:val="a8"/>
          <w:rFonts w:hint="eastAsia"/>
        </w:rPr>
        <w:t>代表人类的高效民主治理结构</w:t>
      </w:r>
    </w:p>
    <w:p w14:paraId="6D307465" w14:textId="77777777" w:rsidR="00960241" w:rsidRDefault="00000000">
      <w:pPr>
        <w:ind w:firstLineChars="200" w:firstLine="440"/>
      </w:pPr>
      <w:r>
        <w:rPr>
          <w:rFonts w:hint="eastAsia"/>
        </w:rPr>
        <w:t>AI</w:t>
      </w:r>
      <w:r w:rsidRPr="007E2A7A">
        <w:rPr>
          <w:rFonts w:hint="eastAsia"/>
          <w:highlight w:val="yellow"/>
        </w:rPr>
        <w:t>“长征”</w:t>
      </w:r>
      <w:r>
        <w:rPr>
          <w:rFonts w:hint="eastAsia"/>
        </w:rPr>
        <w:t>不参与决策，但承担信息收敛、透明化与执行监控角色。其职责包括：</w:t>
      </w:r>
    </w:p>
    <w:p w14:paraId="76EE3DD3" w14:textId="77777777" w:rsidR="00960241" w:rsidRDefault="00000000">
      <w:pPr>
        <w:ind w:firstLineChars="200" w:firstLine="440"/>
      </w:pPr>
      <w:r>
        <w:rPr>
          <w:rFonts w:hint="eastAsia"/>
        </w:rPr>
        <w:t xml:space="preserve">* </w:t>
      </w:r>
      <w:r>
        <w:rPr>
          <w:rFonts w:hint="eastAsia"/>
        </w:rPr>
        <w:t>将社会指标量化，向公众与议会提供部分决策依据；</w:t>
      </w:r>
    </w:p>
    <w:p w14:paraId="2CC6C0AA" w14:textId="77777777" w:rsidR="00960241" w:rsidRDefault="00000000">
      <w:pPr>
        <w:ind w:firstLineChars="200" w:firstLine="440"/>
      </w:pPr>
      <w:r>
        <w:rPr>
          <w:rFonts w:hint="eastAsia"/>
        </w:rPr>
        <w:t xml:space="preserve">* </w:t>
      </w:r>
      <w:r>
        <w:rPr>
          <w:rFonts w:hint="eastAsia"/>
        </w:rPr>
        <w:t>监督公投与选举过程，保证程序正义；</w:t>
      </w:r>
    </w:p>
    <w:p w14:paraId="5FD9FAB8" w14:textId="77777777" w:rsidR="00960241" w:rsidRDefault="00000000">
      <w:pPr>
        <w:ind w:firstLineChars="200" w:firstLine="440"/>
      </w:pPr>
      <w:r>
        <w:rPr>
          <w:rFonts w:hint="eastAsia"/>
        </w:rPr>
        <w:t xml:space="preserve">* </w:t>
      </w:r>
      <w:r>
        <w:rPr>
          <w:rFonts w:hint="eastAsia"/>
        </w:rPr>
        <w:t>在紧急情况下提供政策模拟与影响评估。</w:t>
      </w:r>
    </w:p>
    <w:p w14:paraId="48745131" w14:textId="77777777" w:rsidR="00960241" w:rsidRDefault="00000000">
      <w:pPr>
        <w:ind w:firstLineChars="200" w:firstLine="440"/>
      </w:pPr>
      <w:r>
        <w:rPr>
          <w:rFonts w:hint="eastAsia"/>
        </w:rPr>
        <w:t>社会治理因此在保持民主弹性的同时提升政策执行效率。</w:t>
      </w:r>
    </w:p>
    <w:p w14:paraId="315B914E" w14:textId="77777777" w:rsidR="00960241" w:rsidRDefault="00000000">
      <w:pPr>
        <w:ind w:firstLineChars="200" w:firstLine="442"/>
        <w:rPr>
          <w:rStyle w:val="a8"/>
        </w:rPr>
      </w:pPr>
      <w:r>
        <w:rPr>
          <w:rStyle w:val="a8"/>
          <w:rFonts w:hint="eastAsia"/>
        </w:rPr>
        <w:t>（</w:t>
      </w:r>
      <w:r>
        <w:rPr>
          <w:rStyle w:val="a8"/>
          <w:rFonts w:hint="eastAsia"/>
        </w:rPr>
        <w:t>4</w:t>
      </w:r>
      <w:r>
        <w:rPr>
          <w:rStyle w:val="a8"/>
          <w:rFonts w:hint="eastAsia"/>
        </w:rPr>
        <w:t>）三大系统的耦合机制</w:t>
      </w:r>
    </w:p>
    <w:p w14:paraId="20E22246" w14:textId="77777777" w:rsidR="00960241" w:rsidRDefault="00000000">
      <w:pPr>
        <w:ind w:firstLineChars="200" w:firstLine="440"/>
      </w:pPr>
      <w:r>
        <w:rPr>
          <w:rFonts w:hint="eastAsia"/>
        </w:rPr>
        <w:t>能源、资源与社会治理三者通过“火种”的中央协调实现闭环运行：</w:t>
      </w:r>
    </w:p>
    <w:p w14:paraId="1E498F1B" w14:textId="77777777" w:rsidR="00960241" w:rsidRDefault="00000000">
      <w:pPr>
        <w:ind w:firstLineChars="200" w:firstLine="440"/>
      </w:pPr>
      <w:r>
        <w:rPr>
          <w:rFonts w:hint="eastAsia"/>
        </w:rPr>
        <w:t>*</w:t>
      </w:r>
      <w:r>
        <w:rPr>
          <w:rFonts w:hint="eastAsia"/>
        </w:rPr>
        <w:t>能源稳定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资源加工更高效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社会运行可预测</w:t>
      </w:r>
    </w:p>
    <w:p w14:paraId="0703B0B7" w14:textId="77777777" w:rsidR="00960241" w:rsidRDefault="00000000">
      <w:pPr>
        <w:ind w:firstLineChars="200" w:firstLine="440"/>
      </w:pPr>
      <w:r>
        <w:rPr>
          <w:rFonts w:hint="eastAsia"/>
        </w:rPr>
        <w:lastRenderedPageBreak/>
        <w:t>*</w:t>
      </w:r>
      <w:r>
        <w:rPr>
          <w:rFonts w:hint="eastAsia"/>
        </w:rPr>
        <w:t>公共决策透明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资源分配有序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能源高效利用</w:t>
      </w:r>
    </w:p>
    <w:p w14:paraId="339F0EE9" w14:textId="77777777" w:rsidR="00960241" w:rsidRDefault="00000000">
      <w:pPr>
        <w:ind w:firstLineChars="200" w:firstLine="440"/>
      </w:pPr>
      <w:r>
        <w:rPr>
          <w:rFonts w:hint="eastAsia"/>
        </w:rPr>
        <w:t>这种结构确保文明在高科技背景下保持秩序、韧性与可持续性，成为新世界发展的基础框架。</w:t>
      </w:r>
    </w:p>
    <w:p w14:paraId="780BBD7C" w14:textId="77777777" w:rsidR="00960241" w:rsidRDefault="00000000">
      <w:pPr>
        <w:pStyle w:val="1"/>
      </w:pPr>
      <w:r>
        <w:rPr>
          <w:rFonts w:hint="eastAsia"/>
        </w:rPr>
        <w:t xml:space="preserve">1.5 </w:t>
      </w:r>
      <w:r>
        <w:rPr>
          <w:rFonts w:hint="eastAsia"/>
        </w:rPr>
        <w:t>世界容量：人口、机器人、</w:t>
      </w:r>
      <w:r>
        <w:rPr>
          <w:rFonts w:hint="eastAsia"/>
        </w:rPr>
        <w:t xml:space="preserve">AI </w:t>
      </w:r>
      <w:r>
        <w:rPr>
          <w:rFonts w:hint="eastAsia"/>
        </w:rPr>
        <w:t>算力规模</w:t>
      </w:r>
    </w:p>
    <w:p w14:paraId="75712AC4" w14:textId="77777777" w:rsidR="00960241" w:rsidRDefault="00000000">
      <w:pPr>
        <w:ind w:firstLineChars="200" w:firstLine="440"/>
      </w:pPr>
      <w:r>
        <w:rPr>
          <w:rFonts w:hint="eastAsia"/>
        </w:rPr>
        <w:t>•常住人口：</w:t>
      </w:r>
      <w:r>
        <w:rPr>
          <w:rFonts w:hint="eastAsia"/>
        </w:rPr>
        <w:t xml:space="preserve">2,139 </w:t>
      </w:r>
      <w:r>
        <w:rPr>
          <w:rFonts w:hint="eastAsia"/>
        </w:rPr>
        <w:t>人（人口翻倍则数据按双倍计算）</w:t>
      </w:r>
    </w:p>
    <w:p w14:paraId="118290A0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需由机器人承担的“岗位等效工作量”估算：≈</w:t>
      </w:r>
      <w:r>
        <w:rPr>
          <w:rFonts w:hint="eastAsia"/>
        </w:rPr>
        <w:t xml:space="preserve">1,342 </w:t>
      </w:r>
      <w:r>
        <w:rPr>
          <w:rFonts w:hint="eastAsia"/>
        </w:rPr>
        <w:t>个岗位。</w:t>
      </w:r>
    </w:p>
    <w:p w14:paraId="58F3017F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机器人总量（用于完全替代劳动、含生产</w:t>
      </w:r>
      <w:r>
        <w:rPr>
          <w:rFonts w:hint="eastAsia"/>
        </w:rPr>
        <w:t>/</w:t>
      </w:r>
      <w:r>
        <w:rPr>
          <w:rFonts w:hint="eastAsia"/>
        </w:rPr>
        <w:t>物流</w:t>
      </w:r>
      <w:r>
        <w:rPr>
          <w:rFonts w:hint="eastAsia"/>
        </w:rPr>
        <w:t>/</w:t>
      </w:r>
      <w:r>
        <w:rPr>
          <w:rFonts w:hint="eastAsia"/>
        </w:rPr>
        <w:t>维护冗余）：≈</w:t>
      </w:r>
      <w:r>
        <w:rPr>
          <w:rFonts w:hint="eastAsia"/>
        </w:rPr>
        <w:t xml:space="preserve">2,953 </w:t>
      </w:r>
      <w:r>
        <w:rPr>
          <w:rFonts w:hint="eastAsia"/>
        </w:rPr>
        <w:t>台机器人（约</w:t>
      </w:r>
      <w:r>
        <w:rPr>
          <w:rFonts w:hint="eastAsia"/>
        </w:rPr>
        <w:t xml:space="preserve"> 1.4 </w:t>
      </w:r>
      <w:r>
        <w:rPr>
          <w:rFonts w:hint="eastAsia"/>
        </w:rPr>
        <w:t>台</w:t>
      </w:r>
      <w:r>
        <w:rPr>
          <w:rFonts w:hint="eastAsia"/>
        </w:rPr>
        <w:t>/</w:t>
      </w:r>
      <w:r>
        <w:rPr>
          <w:rFonts w:hint="eastAsia"/>
        </w:rPr>
        <w:t>岗位冗余）。</w:t>
      </w:r>
    </w:p>
    <w:p w14:paraId="7D8D47E4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专属小</w:t>
      </w:r>
      <w:r>
        <w:rPr>
          <w:rFonts w:hint="eastAsia"/>
        </w:rPr>
        <w:t xml:space="preserve"> AI </w:t>
      </w:r>
      <w:r>
        <w:rPr>
          <w:rFonts w:hint="eastAsia"/>
        </w:rPr>
        <w:t>代理：</w:t>
      </w:r>
      <w:r>
        <w:rPr>
          <w:rFonts w:hint="eastAsia"/>
        </w:rPr>
        <w:t xml:space="preserve">2,139 </w:t>
      </w:r>
      <w:r>
        <w:rPr>
          <w:rFonts w:hint="eastAsia"/>
        </w:rPr>
        <w:t>个（每人</w:t>
      </w:r>
      <w:r>
        <w:rPr>
          <w:rFonts w:hint="eastAsia"/>
        </w:rPr>
        <w:t xml:space="preserve"> 1 </w:t>
      </w:r>
      <w:r>
        <w:rPr>
          <w:rFonts w:hint="eastAsia"/>
        </w:rPr>
        <w:t>个，常在线运行）。</w:t>
      </w:r>
    </w:p>
    <w:p w14:paraId="300BDF1B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中央超级</w:t>
      </w:r>
      <w:r>
        <w:rPr>
          <w:rFonts w:hint="eastAsia"/>
        </w:rPr>
        <w:t xml:space="preserve"> AI </w:t>
      </w:r>
      <w:r>
        <w:rPr>
          <w:rFonts w:hint="eastAsia"/>
        </w:rPr>
        <w:t>规模（等效）：</w:t>
      </w:r>
      <w:r w:rsidRPr="007E2A7A">
        <w:rPr>
          <w:rFonts w:hint="eastAsia"/>
          <w:highlight w:val="yellow"/>
        </w:rPr>
        <w:t xml:space="preserve">256 </w:t>
      </w:r>
      <w:r w:rsidRPr="007E2A7A">
        <w:rPr>
          <w:rFonts w:hint="eastAsia"/>
          <w:highlight w:val="yellow"/>
        </w:rPr>
        <w:t>×</w:t>
      </w:r>
      <w:r w:rsidRPr="007E2A7A">
        <w:rPr>
          <w:rFonts w:hint="eastAsia"/>
          <w:highlight w:val="yellow"/>
        </w:rPr>
        <w:t xml:space="preserve"> NVIDIA H100 </w:t>
      </w:r>
      <w:r w:rsidRPr="007E2A7A">
        <w:rPr>
          <w:rFonts w:hint="eastAsia"/>
          <w:highlight w:val="yellow"/>
        </w:rPr>
        <w:t>等效</w:t>
      </w:r>
      <w:r w:rsidRPr="007E2A7A">
        <w:rPr>
          <w:rFonts w:hint="eastAsia"/>
          <w:highlight w:val="yellow"/>
        </w:rPr>
        <w:t xml:space="preserve"> GPU</w:t>
      </w:r>
      <w:r w:rsidRPr="007E2A7A">
        <w:rPr>
          <w:rFonts w:hint="eastAsia"/>
          <w:highlight w:val="yellow"/>
        </w:rPr>
        <w:t>（</w:t>
      </w:r>
      <w:r>
        <w:rPr>
          <w:rFonts w:hint="eastAsia"/>
        </w:rPr>
        <w:t>推理</w:t>
      </w:r>
      <w:r>
        <w:rPr>
          <w:rFonts w:hint="eastAsia"/>
        </w:rPr>
        <w:t>/</w:t>
      </w:r>
      <w:r>
        <w:rPr>
          <w:rFonts w:hint="eastAsia"/>
        </w:rPr>
        <w:t>管理集群）（提供“多任务并行推理</w:t>
      </w:r>
      <w:r>
        <w:rPr>
          <w:rFonts w:hint="eastAsia"/>
        </w:rPr>
        <w:t xml:space="preserve"> + </w:t>
      </w:r>
      <w:r>
        <w:rPr>
          <w:rFonts w:hint="eastAsia"/>
        </w:rPr>
        <w:t>大规模仿真”能力）。连续机房总耗电（含服务器、网络、内冷、基础设施</w:t>
      </w:r>
      <w:r>
        <w:rPr>
          <w:rFonts w:hint="eastAsia"/>
        </w:rPr>
        <w:t xml:space="preserve"> PUE </w:t>
      </w:r>
      <w:r>
        <w:rPr>
          <w:rFonts w:hint="eastAsia"/>
        </w:rPr>
        <w:t>后）：≈</w:t>
      </w:r>
      <w:r>
        <w:rPr>
          <w:rFonts w:hint="eastAsia"/>
        </w:rPr>
        <w:t xml:space="preserve">509 kW </w:t>
      </w:r>
      <w:r>
        <w:rPr>
          <w:rFonts w:hint="eastAsia"/>
        </w:rPr>
        <w:t>连续功率。年耗电量（连续运行）：≈</w:t>
      </w:r>
      <w:r>
        <w:rPr>
          <w:rFonts w:hint="eastAsia"/>
        </w:rPr>
        <w:t xml:space="preserve">4.46 GWh / </w:t>
      </w:r>
      <w:r>
        <w:rPr>
          <w:rFonts w:hint="eastAsia"/>
        </w:rPr>
        <w:t>年。</w:t>
      </w:r>
    </w:p>
    <w:p w14:paraId="527ACA3A" w14:textId="77777777" w:rsidR="00960241" w:rsidRDefault="00000000">
      <w:pPr>
        <w:pStyle w:val="ad"/>
      </w:pPr>
      <w:r>
        <w:rPr>
          <w:rFonts w:hint="eastAsia"/>
        </w:rPr>
        <w:t xml:space="preserve"> </w:t>
      </w:r>
      <w:r>
        <w:rPr>
          <w:rFonts w:hint="eastAsia"/>
        </w:rPr>
        <w:t>年度电力需求：</w:t>
      </w:r>
    </w:p>
    <w:p w14:paraId="4BACEE7C" w14:textId="77777777" w:rsidR="00960241" w:rsidRDefault="00000000">
      <w:r>
        <w:rPr>
          <w:rFonts w:hint="eastAsia"/>
        </w:rPr>
        <w:t>机器人群：≈</w:t>
      </w:r>
      <w:r>
        <w:rPr>
          <w:rFonts w:hint="eastAsia"/>
        </w:rPr>
        <w:t>6.47 GWh/</w:t>
      </w:r>
      <w:r>
        <w:rPr>
          <w:rFonts w:hint="eastAsia"/>
        </w:rPr>
        <w:t>年</w:t>
      </w:r>
    </w:p>
    <w:p w14:paraId="4445D59A" w14:textId="77777777" w:rsidR="00960241" w:rsidRDefault="00000000">
      <w:r>
        <w:rPr>
          <w:rFonts w:hint="eastAsia"/>
        </w:rPr>
        <w:t>中央超级</w:t>
      </w:r>
      <w:r>
        <w:rPr>
          <w:rFonts w:hint="eastAsia"/>
        </w:rPr>
        <w:t xml:space="preserve"> AI</w:t>
      </w:r>
      <w:r>
        <w:rPr>
          <w:rFonts w:hint="eastAsia"/>
        </w:rPr>
        <w:t>：≈</w:t>
      </w:r>
      <w:r>
        <w:rPr>
          <w:rFonts w:hint="eastAsia"/>
        </w:rPr>
        <w:t>4.46 GWh/</w:t>
      </w:r>
      <w:r>
        <w:rPr>
          <w:rFonts w:hint="eastAsia"/>
        </w:rPr>
        <w:t>年</w:t>
      </w:r>
    </w:p>
    <w:p w14:paraId="46204485" w14:textId="77777777" w:rsidR="00960241" w:rsidRDefault="00000000">
      <w:r>
        <w:rPr>
          <w:rFonts w:hint="eastAsia"/>
        </w:rPr>
        <w:t>每名居民的专属小</w:t>
      </w:r>
      <w:r>
        <w:rPr>
          <w:rFonts w:hint="eastAsia"/>
        </w:rPr>
        <w:t xml:space="preserve"> AI </w:t>
      </w:r>
      <w:r>
        <w:rPr>
          <w:rFonts w:hint="eastAsia"/>
        </w:rPr>
        <w:t>年平均能耗（含本地边缘运行</w:t>
      </w:r>
      <w:r>
        <w:rPr>
          <w:rFonts w:hint="eastAsia"/>
        </w:rPr>
        <w:t xml:space="preserve"> + </w:t>
      </w:r>
      <w:r>
        <w:rPr>
          <w:rFonts w:hint="eastAsia"/>
        </w:rPr>
        <w:t>在中央集群上进行的高强度代表性推理分摊）：约</w:t>
      </w:r>
      <w:r>
        <w:rPr>
          <w:rFonts w:hint="eastAsia"/>
        </w:rPr>
        <w:t xml:space="preserve"> 440 kWh / </w:t>
      </w:r>
      <w:r>
        <w:rPr>
          <w:rFonts w:hint="eastAsia"/>
        </w:rPr>
        <w:t>年</w:t>
      </w:r>
      <w:r>
        <w:rPr>
          <w:rFonts w:hint="eastAsia"/>
        </w:rPr>
        <w:t xml:space="preserve"> / </w:t>
      </w:r>
      <w:r>
        <w:rPr>
          <w:rFonts w:hint="eastAsia"/>
        </w:rPr>
        <w:t>代理。</w:t>
      </w:r>
      <w:r>
        <w:rPr>
          <w:rFonts w:hint="eastAsia"/>
        </w:rPr>
        <w:t xml:space="preserve">2,139 </w:t>
      </w:r>
      <w:r>
        <w:rPr>
          <w:rFonts w:hint="eastAsia"/>
        </w:rPr>
        <w:t>个专属小</w:t>
      </w:r>
      <w:r>
        <w:rPr>
          <w:rFonts w:hint="eastAsia"/>
        </w:rPr>
        <w:t xml:space="preserve"> AI </w:t>
      </w:r>
      <w:r>
        <w:rPr>
          <w:rFonts w:hint="eastAsia"/>
        </w:rPr>
        <w:t>年合计能耗：</w:t>
      </w:r>
      <w:r>
        <w:rPr>
          <w:rFonts w:hint="eastAsia"/>
        </w:rPr>
        <w:t xml:space="preserve"> 0.94 GWh/</w:t>
      </w:r>
      <w:r>
        <w:rPr>
          <w:rFonts w:hint="eastAsia"/>
        </w:rPr>
        <w:t>年。</w:t>
      </w:r>
    </w:p>
    <w:p w14:paraId="5EF17868" w14:textId="77777777" w:rsidR="00960241" w:rsidRDefault="00000000">
      <w:r>
        <w:rPr>
          <w:rFonts w:hint="eastAsia"/>
        </w:rPr>
        <w:t>年度电力需求</w:t>
      </w:r>
      <w:r>
        <w:rPr>
          <w:rFonts w:hint="eastAsia"/>
        </w:rPr>
        <w:t>=</w:t>
      </w:r>
      <w:r>
        <w:rPr>
          <w:rFonts w:hint="eastAsia"/>
        </w:rPr>
        <w:t>机器人</w:t>
      </w:r>
      <w:r>
        <w:rPr>
          <w:rFonts w:hint="eastAsia"/>
        </w:rPr>
        <w:t xml:space="preserve"> + </w:t>
      </w:r>
      <w:r>
        <w:rPr>
          <w:rFonts w:hint="eastAsia"/>
        </w:rPr>
        <w:t>中央</w:t>
      </w:r>
      <w:r>
        <w:rPr>
          <w:rFonts w:hint="eastAsia"/>
        </w:rPr>
        <w:t xml:space="preserve"> AI + </w:t>
      </w:r>
      <w:r>
        <w:rPr>
          <w:rFonts w:hint="eastAsia"/>
        </w:rPr>
        <w:t>专属小</w:t>
      </w:r>
      <w:r>
        <w:rPr>
          <w:rFonts w:hint="eastAsia"/>
        </w:rPr>
        <w:t xml:space="preserve"> AI </w:t>
      </w:r>
      <w:r>
        <w:rPr>
          <w:rFonts w:hint="eastAsia"/>
        </w:rPr>
        <w:t>总年耗电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 11.85 GWh/</w:t>
      </w:r>
      <w:r>
        <w:rPr>
          <w:rFonts w:hint="eastAsia"/>
        </w:rPr>
        <w:t>年</w:t>
      </w:r>
    </w:p>
    <w:p w14:paraId="70A522AB" w14:textId="77777777" w:rsidR="00960241" w:rsidRDefault="00000000">
      <w:r>
        <w:rPr>
          <w:rFonts w:hint="eastAsia"/>
        </w:rPr>
        <w:t>（翻倍则按</w:t>
      </w:r>
      <w:r>
        <w:rPr>
          <w:rFonts w:hint="eastAsia"/>
        </w:rPr>
        <w:t>23.7</w:t>
      </w:r>
      <w:r>
        <w:rPr>
          <w:rFonts w:hint="eastAsia"/>
        </w:rPr>
        <w:t>进行计算）</w:t>
      </w:r>
    </w:p>
    <w:p w14:paraId="0A2FE1C0" w14:textId="77777777" w:rsidR="00960241" w:rsidRDefault="00000000">
      <w:pPr>
        <w:pStyle w:val="ad"/>
        <w:rPr>
          <w:rStyle w:val="a8"/>
        </w:rPr>
      </w:pPr>
      <w:r>
        <w:rPr>
          <w:rStyle w:val="a8"/>
          <w:rFonts w:hint="eastAsia"/>
        </w:rPr>
        <w:t>计算与依据</w:t>
      </w:r>
    </w:p>
    <w:p w14:paraId="69F43E51" w14:textId="77777777" w:rsidR="00960241" w:rsidRDefault="00000000">
      <w:pPr>
        <w:ind w:firstLineChars="200" w:firstLine="442"/>
        <w:rPr>
          <w:rStyle w:val="14"/>
        </w:rPr>
      </w:pPr>
      <w:r>
        <w:rPr>
          <w:rStyle w:val="14"/>
          <w:rFonts w:hint="eastAsia"/>
        </w:rPr>
        <w:t xml:space="preserve">1. </w:t>
      </w:r>
      <w:r>
        <w:rPr>
          <w:rStyle w:val="14"/>
          <w:rFonts w:hint="eastAsia"/>
        </w:rPr>
        <w:t>估算需替代的岗位数（以就业</w:t>
      </w:r>
      <w:r>
        <w:rPr>
          <w:rStyle w:val="14"/>
          <w:rFonts w:hint="eastAsia"/>
        </w:rPr>
        <w:t>/</w:t>
      </w:r>
      <w:r>
        <w:rPr>
          <w:rStyle w:val="14"/>
          <w:rFonts w:hint="eastAsia"/>
        </w:rPr>
        <w:t>人口比作基准）</w:t>
      </w:r>
    </w:p>
    <w:p w14:paraId="5A0792C6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采用权威就业</w:t>
      </w:r>
      <w:r>
        <w:rPr>
          <w:rFonts w:hint="eastAsia"/>
        </w:rPr>
        <w:t>/</w:t>
      </w:r>
      <w:r>
        <w:rPr>
          <w:rFonts w:hint="eastAsia"/>
        </w:rPr>
        <w:t>人口比（</w:t>
      </w:r>
      <w:r>
        <w:rPr>
          <w:rFonts w:hint="eastAsia"/>
        </w:rPr>
        <w:t xml:space="preserve">15+ </w:t>
      </w:r>
      <w:r>
        <w:rPr>
          <w:rFonts w:hint="eastAsia"/>
        </w:rPr>
        <w:t>就业—人口比，</w:t>
      </w:r>
      <w:r>
        <w:rPr>
          <w:rFonts w:hint="eastAsia"/>
        </w:rPr>
        <w:t>China/</w:t>
      </w:r>
      <w:r>
        <w:rPr>
          <w:rFonts w:hint="eastAsia"/>
        </w:rPr>
        <w:t>通用近似）：</w:t>
      </w:r>
      <w:r>
        <w:rPr>
          <w:rFonts w:hint="eastAsia"/>
        </w:rPr>
        <w:t>62.756%</w:t>
      </w:r>
      <w:r>
        <w:rPr>
          <w:rFonts w:hint="eastAsia"/>
        </w:rPr>
        <w:t>（</w:t>
      </w:r>
      <w:r>
        <w:rPr>
          <w:rFonts w:hint="eastAsia"/>
        </w:rPr>
        <w:t xml:space="preserve">2023 </w:t>
      </w:r>
      <w:r>
        <w:rPr>
          <w:rFonts w:hint="eastAsia"/>
        </w:rPr>
        <w:t>年，</w:t>
      </w:r>
      <w:r>
        <w:rPr>
          <w:rFonts w:hint="eastAsia"/>
        </w:rPr>
        <w:t xml:space="preserve">World Bank / FRED </w:t>
      </w:r>
      <w:r>
        <w:rPr>
          <w:rFonts w:hint="eastAsia"/>
        </w:rPr>
        <w:t>数据）。</w:t>
      </w:r>
    </w:p>
    <w:p w14:paraId="6F969E9A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计算：</w:t>
      </w:r>
      <w:r>
        <w:rPr>
          <w:rFonts w:hint="eastAsia"/>
        </w:rPr>
        <w:t xml:space="preserve">2,139 </w:t>
      </w:r>
      <w:r>
        <w:rPr>
          <w:rFonts w:hint="eastAsia"/>
        </w:rPr>
        <w:t>×</w:t>
      </w:r>
      <w:r>
        <w:rPr>
          <w:rFonts w:hint="eastAsia"/>
        </w:rPr>
        <w:t xml:space="preserve"> 0.62756 = 1,342.35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约</w:t>
      </w:r>
      <w:r>
        <w:rPr>
          <w:rFonts w:hint="eastAsia"/>
        </w:rPr>
        <w:t xml:space="preserve"> 1,342 </w:t>
      </w:r>
      <w:r>
        <w:rPr>
          <w:rFonts w:hint="eastAsia"/>
        </w:rPr>
        <w:t>个岗位。</w:t>
      </w:r>
    </w:p>
    <w:p w14:paraId="004F70A3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说明：该指标反映“在岗人员占总人口比”，适合作为小型城市需维持之社会运行岗位基准。</w:t>
      </w:r>
    </w:p>
    <w:p w14:paraId="02A0C5E8" w14:textId="77777777" w:rsidR="00960241" w:rsidRDefault="00000000">
      <w:pPr>
        <w:ind w:firstLineChars="200" w:firstLine="442"/>
        <w:rPr>
          <w:rStyle w:val="14"/>
        </w:rPr>
      </w:pPr>
      <w:r>
        <w:rPr>
          <w:rStyle w:val="14"/>
          <w:rFonts w:hint="eastAsia"/>
        </w:rPr>
        <w:t xml:space="preserve">2. </w:t>
      </w:r>
      <w:r>
        <w:rPr>
          <w:rStyle w:val="14"/>
          <w:rFonts w:hint="eastAsia"/>
        </w:rPr>
        <w:t>机器人总量估算</w:t>
      </w:r>
    </w:p>
    <w:p w14:paraId="6CD4FA98" w14:textId="77777777" w:rsidR="00960241" w:rsidRDefault="00000000">
      <w:pPr>
        <w:ind w:firstLineChars="200" w:firstLine="440"/>
      </w:pPr>
      <w:r>
        <w:rPr>
          <w:rFonts w:hint="eastAsia"/>
        </w:rPr>
        <w:lastRenderedPageBreak/>
        <w:t>•</w:t>
      </w:r>
      <w:r>
        <w:rPr>
          <w:rFonts w:hint="eastAsia"/>
        </w:rPr>
        <w:t xml:space="preserve"> </w:t>
      </w:r>
      <w:r>
        <w:rPr>
          <w:rFonts w:hint="eastAsia"/>
        </w:rPr>
        <w:t>现实工程观察：实现全天候、不同工种与冗余维护，单一“岗位等效”常需</w:t>
      </w:r>
      <w:r>
        <w:rPr>
          <w:rFonts w:hint="eastAsia"/>
        </w:rPr>
        <w:t xml:space="preserve"> &gt;1 </w:t>
      </w:r>
      <w:r>
        <w:rPr>
          <w:rFonts w:hint="eastAsia"/>
        </w:rPr>
        <w:t>台机器人（种类多、轮换、备份与专业分工）。以“岗位→机器人”乘数做保守工程假设：</w:t>
      </w:r>
      <w:r>
        <w:rPr>
          <w:rFonts w:hint="eastAsia"/>
        </w:rPr>
        <w:t xml:space="preserve">2.2 </w:t>
      </w:r>
      <w:r>
        <w:rPr>
          <w:rFonts w:hint="eastAsia"/>
        </w:rPr>
        <w:t>台机器人</w:t>
      </w:r>
      <w:r>
        <w:rPr>
          <w:rFonts w:hint="eastAsia"/>
        </w:rPr>
        <w:t xml:space="preserve"> / </w:t>
      </w:r>
      <w:r>
        <w:rPr>
          <w:rFonts w:hint="eastAsia"/>
        </w:rPr>
        <w:t>岗位（含生产</w:t>
      </w:r>
      <w:r>
        <w:rPr>
          <w:rFonts w:hint="eastAsia"/>
        </w:rPr>
        <w:t>/</w:t>
      </w:r>
      <w:r>
        <w:rPr>
          <w:rFonts w:hint="eastAsia"/>
        </w:rPr>
        <w:t>物流</w:t>
      </w:r>
      <w:r>
        <w:rPr>
          <w:rFonts w:hint="eastAsia"/>
        </w:rPr>
        <w:t>/</w:t>
      </w:r>
      <w:r>
        <w:rPr>
          <w:rFonts w:hint="eastAsia"/>
        </w:rPr>
        <w:t>维护冗余）。该假设参考大型自动化场景（仓储</w:t>
      </w:r>
      <w:r>
        <w:rPr>
          <w:rFonts w:hint="eastAsia"/>
        </w:rPr>
        <w:t>/</w:t>
      </w:r>
      <w:r>
        <w:rPr>
          <w:rFonts w:hint="eastAsia"/>
        </w:rPr>
        <w:t>工厂内常见大量移动</w:t>
      </w:r>
      <w:r>
        <w:rPr>
          <w:rFonts w:hint="eastAsia"/>
        </w:rPr>
        <w:t>/</w:t>
      </w:r>
      <w:r>
        <w:rPr>
          <w:rFonts w:hint="eastAsia"/>
        </w:rPr>
        <w:t>专用机器人；</w:t>
      </w:r>
      <w:r>
        <w:rPr>
          <w:rFonts w:hint="eastAsia"/>
        </w:rPr>
        <w:t xml:space="preserve">Amazon </w:t>
      </w:r>
      <w:r>
        <w:rPr>
          <w:rFonts w:hint="eastAsia"/>
        </w:rPr>
        <w:t>等企业显示“机器人数量可接近或超过人工数量”）。</w:t>
      </w:r>
    </w:p>
    <w:p w14:paraId="419E92F7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计算：</w:t>
      </w:r>
      <w:r>
        <w:rPr>
          <w:rFonts w:hint="eastAsia"/>
        </w:rPr>
        <w:t xml:space="preserve">1,342 </w:t>
      </w:r>
      <w:r>
        <w:rPr>
          <w:rFonts w:hint="eastAsia"/>
        </w:rPr>
        <w:t>×</w:t>
      </w:r>
      <w:r>
        <w:rPr>
          <w:rFonts w:hint="eastAsia"/>
        </w:rPr>
        <w:t xml:space="preserve"> 2.2 = 2,953.17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约</w:t>
      </w:r>
      <w:r>
        <w:rPr>
          <w:rFonts w:hint="eastAsia"/>
        </w:rPr>
        <w:t xml:space="preserve"> 2,953 </w:t>
      </w:r>
      <w:r>
        <w:rPr>
          <w:rFonts w:hint="eastAsia"/>
        </w:rPr>
        <w:t>台机器人。</w:t>
      </w:r>
    </w:p>
    <w:p w14:paraId="7B78EE29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说明：高协作场景取</w:t>
      </w:r>
      <w:r>
        <w:rPr>
          <w:rFonts w:hint="eastAsia"/>
        </w:rPr>
        <w:t xml:space="preserve"> 1.5</w:t>
      </w:r>
      <w:r>
        <w:rPr>
          <w:rFonts w:hint="eastAsia"/>
        </w:rPr>
        <w:t>；极端机械化取</w:t>
      </w:r>
      <w:r>
        <w:rPr>
          <w:rFonts w:hint="eastAsia"/>
        </w:rPr>
        <w:t xml:space="preserve"> 3.0+</w:t>
      </w:r>
      <w:r>
        <w:rPr>
          <w:rFonts w:hint="eastAsia"/>
        </w:rPr>
        <w:t>，此处取</w:t>
      </w:r>
      <w:r>
        <w:rPr>
          <w:rFonts w:hint="eastAsia"/>
        </w:rPr>
        <w:t xml:space="preserve"> 2.2 </w:t>
      </w:r>
      <w:r>
        <w:rPr>
          <w:rFonts w:hint="eastAsia"/>
        </w:rPr>
        <w:t>为“覆盖全部岗位</w:t>
      </w:r>
      <w:r>
        <w:rPr>
          <w:rFonts w:hint="eastAsia"/>
        </w:rPr>
        <w:t xml:space="preserve"> + </w:t>
      </w:r>
      <w:r>
        <w:rPr>
          <w:rFonts w:hint="eastAsia"/>
        </w:rPr>
        <w:t>运维</w:t>
      </w:r>
      <w:r>
        <w:rPr>
          <w:rFonts w:hint="eastAsia"/>
        </w:rPr>
        <w:t>/</w:t>
      </w:r>
      <w:r>
        <w:rPr>
          <w:rFonts w:hint="eastAsia"/>
        </w:rPr>
        <w:t>备份”的中值。</w:t>
      </w:r>
    </w:p>
    <w:p w14:paraId="69559254" w14:textId="77777777" w:rsidR="00960241" w:rsidRDefault="00000000">
      <w:pPr>
        <w:ind w:firstLineChars="200" w:firstLine="442"/>
        <w:rPr>
          <w:rStyle w:val="14"/>
        </w:rPr>
      </w:pPr>
      <w:r>
        <w:rPr>
          <w:rStyle w:val="14"/>
          <w:rFonts w:hint="eastAsia"/>
        </w:rPr>
        <w:t xml:space="preserve">3. </w:t>
      </w:r>
      <w:r>
        <w:rPr>
          <w:rStyle w:val="14"/>
          <w:rFonts w:hint="eastAsia"/>
        </w:rPr>
        <w:t>机器人能耗估算（用于能源配套）</w:t>
      </w:r>
    </w:p>
    <w:p w14:paraId="12DB8F0A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设备功率参考（行业通用）：轻</w:t>
      </w:r>
      <w:r>
        <w:rPr>
          <w:rFonts w:hint="eastAsia"/>
        </w:rPr>
        <w:t>/</w:t>
      </w:r>
      <w:r>
        <w:rPr>
          <w:rFonts w:hint="eastAsia"/>
        </w:rPr>
        <w:t>中型服务与协作机器人</w:t>
      </w:r>
      <w:r>
        <w:rPr>
          <w:rFonts w:hint="eastAsia"/>
        </w:rPr>
        <w:t xml:space="preserve"> </w:t>
      </w:r>
      <w:r>
        <w:rPr>
          <w:rFonts w:hint="eastAsia"/>
        </w:rPr>
        <w:t>瞬时功率范围约</w:t>
      </w:r>
      <w:r>
        <w:rPr>
          <w:rFonts w:hint="eastAsia"/>
        </w:rPr>
        <w:t xml:space="preserve"> 0.25</w:t>
      </w:r>
      <w:r>
        <w:rPr>
          <w:rFonts w:hint="eastAsia"/>
        </w:rPr>
        <w:t>–</w:t>
      </w:r>
      <w:r>
        <w:rPr>
          <w:rFonts w:hint="eastAsia"/>
        </w:rPr>
        <w:t>0.5 kW</w:t>
      </w:r>
      <w:r>
        <w:rPr>
          <w:rFonts w:hint="eastAsia"/>
        </w:rPr>
        <w:t>（取中值</w:t>
      </w:r>
      <w:r>
        <w:rPr>
          <w:rFonts w:hint="eastAsia"/>
        </w:rPr>
        <w:t xml:space="preserve"> 0.5 kW </w:t>
      </w:r>
      <w:r>
        <w:rPr>
          <w:rFonts w:hint="eastAsia"/>
        </w:rPr>
        <w:t>做保守估算）。</w:t>
      </w:r>
    </w:p>
    <w:p w14:paraId="0C0B230A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假设平均日有效工作时长（含轮换、夜间服务）：</w:t>
      </w:r>
      <w:r>
        <w:rPr>
          <w:rFonts w:hint="eastAsia"/>
        </w:rPr>
        <w:t xml:space="preserve">12 </w:t>
      </w:r>
      <w:r>
        <w:rPr>
          <w:rFonts w:hint="eastAsia"/>
        </w:rPr>
        <w:t>小时</w:t>
      </w:r>
      <w:r>
        <w:rPr>
          <w:rFonts w:hint="eastAsia"/>
        </w:rPr>
        <w:t>/</w:t>
      </w:r>
      <w:r>
        <w:rPr>
          <w:rFonts w:hint="eastAsia"/>
        </w:rPr>
        <w:t>天（保守）。</w:t>
      </w:r>
    </w:p>
    <w:p w14:paraId="224BF726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单台年耗电</w:t>
      </w:r>
      <w:r>
        <w:rPr>
          <w:rFonts w:hint="eastAsia"/>
        </w:rPr>
        <w:t xml:space="preserve"> = 0.5 kW </w:t>
      </w:r>
      <w:r>
        <w:rPr>
          <w:rFonts w:hint="eastAsia"/>
        </w:rPr>
        <w:t>×</w:t>
      </w:r>
      <w:r>
        <w:rPr>
          <w:rFonts w:hint="eastAsia"/>
        </w:rPr>
        <w:t xml:space="preserve"> 12 h/day </w:t>
      </w:r>
      <w:r>
        <w:rPr>
          <w:rFonts w:hint="eastAsia"/>
        </w:rPr>
        <w:t>×</w:t>
      </w:r>
      <w:r>
        <w:rPr>
          <w:rFonts w:hint="eastAsia"/>
        </w:rPr>
        <w:t xml:space="preserve"> 365 = 2,190 kWh/</w:t>
      </w:r>
      <w:r>
        <w:rPr>
          <w:rFonts w:hint="eastAsia"/>
        </w:rPr>
        <w:t>年。</w:t>
      </w:r>
    </w:p>
    <w:p w14:paraId="57552F57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全群年耗电</w:t>
      </w:r>
      <w:r>
        <w:rPr>
          <w:rFonts w:hint="eastAsia"/>
        </w:rPr>
        <w:t xml:space="preserve"> = 2,190 </w:t>
      </w:r>
      <w:r>
        <w:rPr>
          <w:rFonts w:hint="eastAsia"/>
        </w:rPr>
        <w:t>×</w:t>
      </w:r>
      <w:r>
        <w:rPr>
          <w:rFonts w:hint="eastAsia"/>
        </w:rPr>
        <w:t xml:space="preserve"> 2,953 </w:t>
      </w:r>
      <w:r>
        <w:rPr>
          <w:rFonts w:hint="eastAsia"/>
        </w:rPr>
        <w:t>≈</w:t>
      </w:r>
      <w:r>
        <w:rPr>
          <w:rFonts w:hint="eastAsia"/>
        </w:rPr>
        <w:t xml:space="preserve"> 6,467,446 kWh/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 6.47 GWh/</w:t>
      </w:r>
      <w:r>
        <w:rPr>
          <w:rFonts w:hint="eastAsia"/>
        </w:rPr>
        <w:t>年。</w:t>
      </w:r>
    </w:p>
    <w:p w14:paraId="7A0601D5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说明：若机器人以更低</w:t>
      </w:r>
      <w:r>
        <w:rPr>
          <w:rFonts w:hint="eastAsia"/>
        </w:rPr>
        <w:t>/</w:t>
      </w:r>
      <w:r>
        <w:rPr>
          <w:rFonts w:hint="eastAsia"/>
        </w:rPr>
        <w:t>更高利用率或采用更能效机型，能耗数值需按比例调整。</w:t>
      </w:r>
    </w:p>
    <w:p w14:paraId="5381316D" w14:textId="77777777" w:rsidR="00960241" w:rsidRDefault="00000000">
      <w:pPr>
        <w:ind w:firstLineChars="200" w:firstLine="442"/>
        <w:rPr>
          <w:rStyle w:val="14"/>
        </w:rPr>
      </w:pPr>
      <w:r>
        <w:rPr>
          <w:rStyle w:val="14"/>
          <w:rFonts w:hint="eastAsia"/>
        </w:rPr>
        <w:t xml:space="preserve">4. </w:t>
      </w:r>
      <w:r>
        <w:rPr>
          <w:rStyle w:val="14"/>
          <w:rFonts w:hint="eastAsia"/>
        </w:rPr>
        <w:t>专属小</w:t>
      </w:r>
      <w:r>
        <w:rPr>
          <w:rStyle w:val="14"/>
          <w:rFonts w:hint="eastAsia"/>
        </w:rPr>
        <w:t xml:space="preserve"> AI</w:t>
      </w:r>
      <w:r>
        <w:rPr>
          <w:rStyle w:val="14"/>
          <w:rFonts w:hint="eastAsia"/>
        </w:rPr>
        <w:t>（个人级代理）能耗估算</w:t>
      </w:r>
    </w:p>
    <w:p w14:paraId="1E5215EA" w14:textId="77777777" w:rsidR="00960241" w:rsidRDefault="00000000">
      <w:pPr>
        <w:ind w:firstLineChars="200" w:firstLine="440"/>
      </w:pPr>
      <w:r>
        <w:rPr>
          <w:rFonts w:hint="eastAsia"/>
        </w:rPr>
        <w:t>本地额外持续平均功耗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 15 W</w:t>
      </w:r>
      <w:r>
        <w:rPr>
          <w:rFonts w:hint="eastAsia"/>
        </w:rPr>
        <w:t>（含设备常态后台与短时唤醒平均化）（比普通手机后台更高，因常在线、持续监听与缓存）。</w:t>
      </w:r>
    </w:p>
    <w:p w14:paraId="4E1F7A63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本地年能耗</w:t>
      </w:r>
      <w:r>
        <w:rPr>
          <w:rFonts w:hint="eastAsia"/>
        </w:rPr>
        <w:t xml:space="preserve"> = 15 W </w:t>
      </w:r>
      <w:r>
        <w:rPr>
          <w:rFonts w:hint="eastAsia"/>
        </w:rPr>
        <w:t>×</w:t>
      </w:r>
      <w:r>
        <w:rPr>
          <w:rFonts w:hint="eastAsia"/>
        </w:rPr>
        <w:t xml:space="preserve"> 8,760 h / 1000 </w:t>
      </w:r>
      <w:r>
        <w:rPr>
          <w:rFonts w:hint="eastAsia"/>
        </w:rPr>
        <w:t>≈</w:t>
      </w:r>
      <w:r>
        <w:rPr>
          <w:rFonts w:hint="eastAsia"/>
        </w:rPr>
        <w:t xml:space="preserve"> 131.4 kWh/</w:t>
      </w:r>
      <w:r>
        <w:rPr>
          <w:rFonts w:hint="eastAsia"/>
        </w:rPr>
        <w:t>年。</w:t>
      </w:r>
    </w:p>
    <w:p w14:paraId="28A713A3" w14:textId="77777777" w:rsidR="00960241" w:rsidRDefault="00000000">
      <w:pPr>
        <w:ind w:firstLineChars="200" w:firstLine="442"/>
        <w:rPr>
          <w:rStyle w:val="14"/>
        </w:rPr>
      </w:pPr>
      <w:r>
        <w:rPr>
          <w:rStyle w:val="14"/>
          <w:rFonts w:hint="eastAsia"/>
        </w:rPr>
        <w:t xml:space="preserve">5. </w:t>
      </w:r>
      <w:r>
        <w:rPr>
          <w:rStyle w:val="14"/>
          <w:rFonts w:hint="eastAsia"/>
        </w:rPr>
        <w:t>中央超级</w:t>
      </w:r>
      <w:r>
        <w:rPr>
          <w:rStyle w:val="14"/>
          <w:rFonts w:hint="eastAsia"/>
        </w:rPr>
        <w:t xml:space="preserve"> AI</w:t>
      </w:r>
      <w:r>
        <w:rPr>
          <w:rStyle w:val="14"/>
          <w:rFonts w:hint="eastAsia"/>
        </w:rPr>
        <w:t>（城市级管理集群）规模与能耗估算</w:t>
      </w:r>
    </w:p>
    <w:p w14:paraId="2CA92EBB" w14:textId="77777777" w:rsidR="00960241" w:rsidRDefault="00000000">
      <w:pPr>
        <w:ind w:firstLineChars="200" w:firstLine="440"/>
      </w:pPr>
      <w:r>
        <w:rPr>
          <w:rFonts w:hint="eastAsia"/>
        </w:rPr>
        <w:t>1.</w:t>
      </w:r>
      <w:r>
        <w:rPr>
          <w:rFonts w:hint="eastAsia"/>
        </w:rPr>
        <w:t>选型与规模理由</w:t>
      </w:r>
    </w:p>
    <w:p w14:paraId="71727F97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目标：中央</w:t>
      </w:r>
      <w:r>
        <w:rPr>
          <w:rFonts w:hint="eastAsia"/>
        </w:rPr>
        <w:t xml:space="preserve"> AI </w:t>
      </w:r>
      <w:r>
        <w:rPr>
          <w:rFonts w:hint="eastAsia"/>
        </w:rPr>
        <w:t>承担城市级连续管理、实时预测、应急仿真、跨域协调、多模型并行训练</w:t>
      </w:r>
      <w:r>
        <w:rPr>
          <w:rFonts w:hint="eastAsia"/>
        </w:rPr>
        <w:t>/</w:t>
      </w:r>
      <w:r>
        <w:rPr>
          <w:rFonts w:hint="eastAsia"/>
        </w:rPr>
        <w:t>微调与高并发推理，需“高并行、低延迟、冗余”硬件。为保证充足的并行能力与冗余，选取</w:t>
      </w:r>
      <w:r>
        <w:rPr>
          <w:rFonts w:hint="eastAsia"/>
        </w:rPr>
        <w:t xml:space="preserve">256 </w:t>
      </w:r>
      <w:r>
        <w:rPr>
          <w:rFonts w:hint="eastAsia"/>
        </w:rPr>
        <w:t>张</w:t>
      </w:r>
      <w:r>
        <w:rPr>
          <w:rFonts w:hint="eastAsia"/>
        </w:rPr>
        <w:t xml:space="preserve"> H100 </w:t>
      </w:r>
      <w:r>
        <w:rPr>
          <w:rFonts w:hint="eastAsia"/>
        </w:rPr>
        <w:t>等效</w:t>
      </w:r>
      <w:r>
        <w:rPr>
          <w:rFonts w:hint="eastAsia"/>
        </w:rPr>
        <w:t xml:space="preserve"> GPU</w:t>
      </w:r>
      <w:r>
        <w:rPr>
          <w:rFonts w:hint="eastAsia"/>
        </w:rPr>
        <w:t>作为工程基线（</w:t>
      </w:r>
      <w:r>
        <w:rPr>
          <w:rFonts w:hint="eastAsia"/>
        </w:rPr>
        <w:t xml:space="preserve">32 </w:t>
      </w:r>
      <w:r>
        <w:rPr>
          <w:rFonts w:hint="eastAsia"/>
        </w:rPr>
        <w:t>台</w:t>
      </w:r>
      <w:r>
        <w:rPr>
          <w:rFonts w:hint="eastAsia"/>
        </w:rPr>
        <w:t xml:space="preserve"> 8-GPU DGX </w:t>
      </w:r>
      <w:r>
        <w:rPr>
          <w:rFonts w:hint="eastAsia"/>
        </w:rPr>
        <w:t>等价或若干</w:t>
      </w:r>
      <w:r>
        <w:rPr>
          <w:rFonts w:hint="eastAsia"/>
        </w:rPr>
        <w:t xml:space="preserve"> HGX </w:t>
      </w:r>
      <w:r>
        <w:rPr>
          <w:rFonts w:hint="eastAsia"/>
        </w:rPr>
        <w:t>机柜组合）。该规模在行业中为“中大型推理超算”级别，可支撑持续城域级复杂负载。</w:t>
      </w:r>
    </w:p>
    <w:p w14:paraId="5095C4E2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参考：</w:t>
      </w:r>
      <w:r>
        <w:rPr>
          <w:rFonts w:hint="eastAsia"/>
        </w:rPr>
        <w:t>NVIDIA H100</w:t>
      </w:r>
      <w:r>
        <w:rPr>
          <w:rFonts w:hint="eastAsia"/>
        </w:rPr>
        <w:t>（</w:t>
      </w:r>
      <w:r>
        <w:rPr>
          <w:rFonts w:hint="eastAsia"/>
        </w:rPr>
        <w:t>PCIe/SXM</w:t>
      </w:r>
      <w:r>
        <w:rPr>
          <w:rFonts w:hint="eastAsia"/>
        </w:rPr>
        <w:t>）为当前顶级数据中心推理卡，</w:t>
      </w:r>
      <w:r>
        <w:rPr>
          <w:rFonts w:hint="eastAsia"/>
        </w:rPr>
        <w:t xml:space="preserve">TDP </w:t>
      </w:r>
      <w:r>
        <w:rPr>
          <w:rFonts w:hint="eastAsia"/>
        </w:rPr>
        <w:t>可达</w:t>
      </w:r>
      <w:r>
        <w:rPr>
          <w:rFonts w:hint="eastAsia"/>
        </w:rPr>
        <w:t xml:space="preserve"> 350 W</w:t>
      </w:r>
      <w:r>
        <w:rPr>
          <w:rFonts w:hint="eastAsia"/>
        </w:rPr>
        <w:t>（</w:t>
      </w:r>
      <w:r>
        <w:rPr>
          <w:rFonts w:hint="eastAsia"/>
        </w:rPr>
        <w:t>PCIe</w:t>
      </w:r>
      <w:r>
        <w:rPr>
          <w:rFonts w:hint="eastAsia"/>
        </w:rPr>
        <w:t>）–</w:t>
      </w:r>
      <w:r>
        <w:rPr>
          <w:rFonts w:hint="eastAsia"/>
        </w:rPr>
        <w:t>700 W</w:t>
      </w:r>
      <w:r>
        <w:rPr>
          <w:rFonts w:hint="eastAsia"/>
        </w:rPr>
        <w:t>（</w:t>
      </w:r>
      <w:r>
        <w:rPr>
          <w:rFonts w:hint="eastAsia"/>
        </w:rPr>
        <w:t>SXM</w:t>
      </w:r>
      <w:r>
        <w:rPr>
          <w:rFonts w:hint="eastAsia"/>
        </w:rPr>
        <w:t>），并被大型推理集群广泛采用。</w:t>
      </w:r>
    </w:p>
    <w:p w14:paraId="1CAEE3DA" w14:textId="77777777" w:rsidR="00960241" w:rsidRDefault="00000000">
      <w:pPr>
        <w:ind w:firstLineChars="200" w:firstLine="440"/>
      </w:pPr>
      <w:r>
        <w:rPr>
          <w:rFonts w:hint="eastAsia"/>
        </w:rPr>
        <w:t xml:space="preserve">2. </w:t>
      </w:r>
      <w:r>
        <w:rPr>
          <w:rFonts w:hint="eastAsia"/>
        </w:rPr>
        <w:t>每</w:t>
      </w:r>
      <w:r>
        <w:rPr>
          <w:rFonts w:hint="eastAsia"/>
        </w:rPr>
        <w:t xml:space="preserve"> GPU </w:t>
      </w:r>
      <w:r>
        <w:rPr>
          <w:rFonts w:hint="eastAsia"/>
        </w:rPr>
        <w:t>平均系统功耗估算（含机箱</w:t>
      </w:r>
      <w:r>
        <w:rPr>
          <w:rFonts w:hint="eastAsia"/>
        </w:rPr>
        <w:t>/CPU/</w:t>
      </w:r>
      <w:r>
        <w:rPr>
          <w:rFonts w:hint="eastAsia"/>
        </w:rPr>
        <w:t>内存</w:t>
      </w:r>
      <w:r>
        <w:rPr>
          <w:rFonts w:hint="eastAsia"/>
        </w:rPr>
        <w:t>/</w:t>
      </w:r>
      <w:r>
        <w:rPr>
          <w:rFonts w:hint="eastAsia"/>
        </w:rPr>
        <w:t>网络等）</w:t>
      </w:r>
    </w:p>
    <w:p w14:paraId="7C67DC30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实测与行业分析表明，以</w:t>
      </w:r>
      <w:r>
        <w:rPr>
          <w:rFonts w:hint="eastAsia"/>
        </w:rPr>
        <w:t xml:space="preserve"> DGX/HGX </w:t>
      </w:r>
      <w:r>
        <w:rPr>
          <w:rFonts w:hint="eastAsia"/>
        </w:rPr>
        <w:t>机箱计，一卡实际平均连续功耗远高于</w:t>
      </w:r>
      <w:r>
        <w:rPr>
          <w:rFonts w:hint="eastAsia"/>
        </w:rPr>
        <w:t xml:space="preserve"> GPU </w:t>
      </w:r>
      <w:r>
        <w:rPr>
          <w:rFonts w:hint="eastAsia"/>
        </w:rPr>
        <w:t>本体</w:t>
      </w:r>
      <w:r>
        <w:rPr>
          <w:rFonts w:hint="eastAsia"/>
        </w:rPr>
        <w:t xml:space="preserve"> TDP</w:t>
      </w:r>
      <w:r>
        <w:rPr>
          <w:rFonts w:hint="eastAsia"/>
        </w:rPr>
        <w:t>（需计入</w:t>
      </w:r>
      <w:r>
        <w:rPr>
          <w:rFonts w:hint="eastAsia"/>
        </w:rPr>
        <w:t xml:space="preserve"> CPU</w:t>
      </w:r>
      <w:r>
        <w:rPr>
          <w:rFonts w:hint="eastAsia"/>
        </w:rPr>
        <w:t>、内存、</w:t>
      </w:r>
      <w:r>
        <w:rPr>
          <w:rFonts w:hint="eastAsia"/>
        </w:rPr>
        <w:t>NVLink</w:t>
      </w:r>
      <w:r>
        <w:rPr>
          <w:rFonts w:hint="eastAsia"/>
        </w:rPr>
        <w:t>、交换、</w:t>
      </w:r>
      <w:r>
        <w:rPr>
          <w:rFonts w:hint="eastAsia"/>
        </w:rPr>
        <w:t>NIC</w:t>
      </w:r>
      <w:r>
        <w:rPr>
          <w:rFonts w:hint="eastAsia"/>
        </w:rPr>
        <w:t>、电源损耗等）。行业分析给出的经验值：约</w:t>
      </w:r>
      <w:r>
        <w:rPr>
          <w:rFonts w:hint="eastAsia"/>
        </w:rPr>
        <w:t xml:space="preserve"> 1.275 kW </w:t>
      </w:r>
      <w:r>
        <w:rPr>
          <w:rFonts w:hint="eastAsia"/>
        </w:rPr>
        <w:t>平均功耗</w:t>
      </w:r>
      <w:r>
        <w:rPr>
          <w:rFonts w:hint="eastAsia"/>
        </w:rPr>
        <w:t xml:space="preserve"> / GPU</w:t>
      </w:r>
      <w:r>
        <w:rPr>
          <w:rFonts w:hint="eastAsia"/>
        </w:rPr>
        <w:t>（含整机开销）（来源基于</w:t>
      </w:r>
      <w:r>
        <w:rPr>
          <w:rFonts w:hint="eastAsia"/>
        </w:rPr>
        <w:t xml:space="preserve"> DGX H100 </w:t>
      </w:r>
      <w:r>
        <w:rPr>
          <w:rFonts w:hint="eastAsia"/>
        </w:rPr>
        <w:t>典型工作时整机平均功耗约</w:t>
      </w:r>
      <w:r>
        <w:rPr>
          <w:rFonts w:hint="eastAsia"/>
        </w:rPr>
        <w:t xml:space="preserve"> 10.2 kW / 8 GPUs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约</w:t>
      </w:r>
      <w:r>
        <w:rPr>
          <w:rFonts w:hint="eastAsia"/>
        </w:rPr>
        <w:t xml:space="preserve"> 1.275 kW/GPU</w:t>
      </w:r>
      <w:r>
        <w:rPr>
          <w:rFonts w:hint="eastAsia"/>
        </w:rPr>
        <w:t>）。该数值比单卡</w:t>
      </w:r>
      <w:r>
        <w:rPr>
          <w:rFonts w:hint="eastAsia"/>
        </w:rPr>
        <w:t xml:space="preserve"> TDP </w:t>
      </w:r>
      <w:r>
        <w:rPr>
          <w:rFonts w:hint="eastAsia"/>
        </w:rPr>
        <w:t>高得多，反映真实部署时的系统开销。</w:t>
      </w:r>
    </w:p>
    <w:p w14:paraId="37770DE8" w14:textId="77777777" w:rsidR="00960241" w:rsidRDefault="00000000">
      <w:pPr>
        <w:ind w:firstLineChars="200" w:firstLine="440"/>
      </w:pPr>
      <w:r>
        <w:rPr>
          <w:rFonts w:hint="eastAsia"/>
        </w:rPr>
        <w:lastRenderedPageBreak/>
        <w:t>•</w:t>
      </w:r>
      <w:r>
        <w:rPr>
          <w:rFonts w:hint="eastAsia"/>
        </w:rPr>
        <w:t xml:space="preserve"> </w:t>
      </w:r>
      <w:r>
        <w:rPr>
          <w:rFonts w:hint="eastAsia"/>
        </w:rPr>
        <w:t>计算基数采此业界经验值以保证保守性与现实可行性。</w:t>
      </w:r>
    </w:p>
    <w:p w14:paraId="6D5D497B" w14:textId="77777777" w:rsidR="00960241" w:rsidRDefault="00000000">
      <w:pPr>
        <w:ind w:firstLineChars="200" w:firstLine="440"/>
      </w:pPr>
      <w:r>
        <w:rPr>
          <w:rFonts w:hint="eastAsia"/>
        </w:rPr>
        <w:t xml:space="preserve">3. </w:t>
      </w:r>
      <w:r>
        <w:rPr>
          <w:rFonts w:hint="eastAsia"/>
        </w:rPr>
        <w:t>集群连续机房功率（未含</w:t>
      </w:r>
      <w:r>
        <w:rPr>
          <w:rFonts w:hint="eastAsia"/>
        </w:rPr>
        <w:t xml:space="preserve"> PUE</w:t>
      </w:r>
      <w:r>
        <w:rPr>
          <w:rFonts w:hint="eastAsia"/>
        </w:rPr>
        <w:t>）</w:t>
      </w:r>
    </w:p>
    <w:p w14:paraId="2ED8E979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原始计算（</w:t>
      </w:r>
      <w:r>
        <w:rPr>
          <w:rFonts w:hint="eastAsia"/>
        </w:rPr>
        <w:t xml:space="preserve">GPU + </w:t>
      </w:r>
      <w:r>
        <w:rPr>
          <w:rFonts w:hint="eastAsia"/>
        </w:rPr>
        <w:t>系统开销）：</w:t>
      </w:r>
      <w:r>
        <w:rPr>
          <w:rFonts w:hint="eastAsia"/>
        </w:rPr>
        <w:t xml:space="preserve">256 GPUs </w:t>
      </w:r>
      <w:r>
        <w:rPr>
          <w:rFonts w:hint="eastAsia"/>
        </w:rPr>
        <w:t>×</w:t>
      </w:r>
      <w:r>
        <w:rPr>
          <w:rFonts w:hint="eastAsia"/>
        </w:rPr>
        <w:t xml:space="preserve"> 1.275 kW/GPU = 326.4 kW</w:t>
      </w:r>
      <w:r>
        <w:rPr>
          <w:rFonts w:hint="eastAsia"/>
        </w:rPr>
        <w:t>（这是直接包含服务器侧开销的系统耗电）。</w:t>
      </w:r>
    </w:p>
    <w:p w14:paraId="52818F1D" w14:textId="77777777" w:rsidR="00960241" w:rsidRDefault="00000000">
      <w:pPr>
        <w:ind w:firstLineChars="200" w:firstLine="440"/>
      </w:pPr>
      <w:r>
        <w:rPr>
          <w:rFonts w:hint="eastAsia"/>
        </w:rPr>
        <w:t xml:space="preserve">4. </w:t>
      </w:r>
      <w:r>
        <w:rPr>
          <w:rFonts w:hint="eastAsia"/>
        </w:rPr>
        <w:t>含数据中心设施开销（</w:t>
      </w:r>
      <w:r>
        <w:rPr>
          <w:rFonts w:hint="eastAsia"/>
        </w:rPr>
        <w:t>PUE</w:t>
      </w:r>
      <w:r>
        <w:rPr>
          <w:rFonts w:hint="eastAsia"/>
        </w:rPr>
        <w:t>）</w:t>
      </w:r>
    </w:p>
    <w:p w14:paraId="4F5C224D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采用行业平均</w:t>
      </w:r>
      <w:r>
        <w:rPr>
          <w:rFonts w:hint="eastAsia"/>
        </w:rPr>
        <w:t xml:space="preserve"> PUE = 1.56</w:t>
      </w:r>
      <w:r>
        <w:rPr>
          <w:rFonts w:hint="eastAsia"/>
        </w:rPr>
        <w:t>（</w:t>
      </w:r>
      <w:r>
        <w:rPr>
          <w:rFonts w:hint="eastAsia"/>
        </w:rPr>
        <w:t xml:space="preserve">Uptime Institute 2024/2025 </w:t>
      </w:r>
      <w:r>
        <w:rPr>
          <w:rFonts w:hint="eastAsia"/>
        </w:rPr>
        <w:t>调查平均值；新数据中心可低至</w:t>
      </w:r>
      <w:r>
        <w:rPr>
          <w:rFonts w:hint="eastAsia"/>
        </w:rPr>
        <w:t xml:space="preserve"> 1.3</w:t>
      </w:r>
      <w:r>
        <w:rPr>
          <w:rFonts w:hint="eastAsia"/>
        </w:rPr>
        <w:t>，但行业平均更现实）。</w:t>
      </w:r>
    </w:p>
    <w:p w14:paraId="1C9CCADA" w14:textId="77777777" w:rsidR="00960241" w:rsidRDefault="00000000">
      <w:pPr>
        <w:ind w:firstLineChars="200" w:firstLine="44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含</w:t>
      </w:r>
      <w:r>
        <w:rPr>
          <w:rFonts w:hint="eastAsia"/>
        </w:rPr>
        <w:t xml:space="preserve"> PUE </w:t>
      </w:r>
      <w:r>
        <w:rPr>
          <w:rFonts w:hint="eastAsia"/>
        </w:rPr>
        <w:t>后总场站功率</w:t>
      </w:r>
      <w:r>
        <w:rPr>
          <w:rFonts w:hint="eastAsia"/>
        </w:rPr>
        <w:t xml:space="preserve"> = 326.4 kW </w:t>
      </w:r>
      <w:r>
        <w:rPr>
          <w:rFonts w:hint="eastAsia"/>
        </w:rPr>
        <w:t>×</w:t>
      </w:r>
      <w:r>
        <w:rPr>
          <w:rFonts w:hint="eastAsia"/>
        </w:rPr>
        <w:t xml:space="preserve"> 1.56 </w:t>
      </w:r>
      <w:r>
        <w:rPr>
          <w:rFonts w:hint="eastAsia"/>
        </w:rPr>
        <w:t>≈</w:t>
      </w:r>
      <w:r>
        <w:rPr>
          <w:rFonts w:hint="eastAsia"/>
        </w:rPr>
        <w:t xml:space="preserve"> 509.2 kW</w:t>
      </w:r>
      <w:r>
        <w:rPr>
          <w:rFonts w:hint="eastAsia"/>
        </w:rPr>
        <w:t>。为工程四舍五入，取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509 kW </w:t>
      </w:r>
      <w:r>
        <w:rPr>
          <w:rFonts w:hint="eastAsia"/>
        </w:rPr>
        <w:t>连续功率。</w:t>
      </w:r>
    </w:p>
    <w:p w14:paraId="461ECFBB" w14:textId="77777777" w:rsidR="00960241" w:rsidRDefault="00000000">
      <w:pPr>
        <w:ind w:firstLineChars="200" w:firstLine="440"/>
      </w:pPr>
      <w:r>
        <w:rPr>
          <w:rFonts w:hint="eastAsia"/>
        </w:rPr>
        <w:t xml:space="preserve">5. </w:t>
      </w:r>
      <w:r>
        <w:rPr>
          <w:rFonts w:hint="eastAsia"/>
        </w:rPr>
        <w:t>年耗电量（连续运行、</w:t>
      </w:r>
      <w:r>
        <w:rPr>
          <w:rFonts w:hint="eastAsia"/>
        </w:rPr>
        <w:t>365</w:t>
      </w:r>
      <w:r>
        <w:rPr>
          <w:rFonts w:hint="eastAsia"/>
        </w:rPr>
        <w:t>×</w:t>
      </w:r>
      <w:r>
        <w:rPr>
          <w:rFonts w:hint="eastAsia"/>
        </w:rPr>
        <w:t xml:space="preserve">24 </w:t>
      </w:r>
      <w:r>
        <w:rPr>
          <w:rFonts w:hint="eastAsia"/>
        </w:rPr>
        <w:t>小时）</w:t>
      </w:r>
    </w:p>
    <w:p w14:paraId="27141E2A" w14:textId="77777777" w:rsidR="00960241" w:rsidRDefault="00000000">
      <w:pPr>
        <w:ind w:firstLineChars="200" w:firstLine="440"/>
        <w:rPr>
          <w:rStyle w:val="14"/>
          <w:b w:val="0"/>
          <w:bCs w:val="0"/>
          <w:smallCaps w:val="0"/>
          <w:u w:val="none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年耗电</w:t>
      </w:r>
      <w:r>
        <w:rPr>
          <w:rFonts w:hint="eastAsia"/>
        </w:rPr>
        <w:t xml:space="preserve"> = 509.2 kW </w:t>
      </w:r>
      <w:r>
        <w:rPr>
          <w:rFonts w:hint="eastAsia"/>
        </w:rPr>
        <w:t>×</w:t>
      </w:r>
      <w:r>
        <w:rPr>
          <w:rFonts w:hint="eastAsia"/>
        </w:rPr>
        <w:t xml:space="preserve"> 8,760 h </w:t>
      </w:r>
      <w:r>
        <w:rPr>
          <w:rFonts w:hint="eastAsia"/>
        </w:rPr>
        <w:t>≈</w:t>
      </w:r>
      <w:r>
        <w:rPr>
          <w:rFonts w:hint="eastAsia"/>
        </w:rPr>
        <w:t xml:space="preserve"> 4,459,000 kWh / 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 4.46 GWh / </w:t>
      </w:r>
      <w:r>
        <w:rPr>
          <w:rFonts w:hint="eastAsia"/>
        </w:rPr>
        <w:t>年。</w:t>
      </w:r>
    </w:p>
    <w:sectPr w:rsidR="009602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16340" w14:textId="77777777" w:rsidR="00A976FB" w:rsidRDefault="00A976FB">
      <w:pPr>
        <w:spacing w:line="240" w:lineRule="auto"/>
      </w:pPr>
      <w:r>
        <w:separator/>
      </w:r>
    </w:p>
  </w:endnote>
  <w:endnote w:type="continuationSeparator" w:id="0">
    <w:p w14:paraId="08FF41D5" w14:textId="77777777" w:rsidR="00A976FB" w:rsidRDefault="00A976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38CDB" w14:textId="77777777" w:rsidR="00A976FB" w:rsidRDefault="00A976FB">
      <w:pPr>
        <w:spacing w:after="0"/>
      </w:pPr>
      <w:r>
        <w:separator/>
      </w:r>
    </w:p>
  </w:footnote>
  <w:footnote w:type="continuationSeparator" w:id="0">
    <w:p w14:paraId="279299D5" w14:textId="77777777" w:rsidR="00A976FB" w:rsidRDefault="00A976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4157E"/>
    <w:multiLevelType w:val="hybridMultilevel"/>
    <w:tmpl w:val="1E9E0340"/>
    <w:lvl w:ilvl="0" w:tplc="DFD6B3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3FE4880"/>
    <w:multiLevelType w:val="multilevel"/>
    <w:tmpl w:val="4972EF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7D906406"/>
    <w:multiLevelType w:val="hybridMultilevel"/>
    <w:tmpl w:val="07F00628"/>
    <w:lvl w:ilvl="0" w:tplc="157823B4">
      <w:start w:val="1"/>
      <w:numFmt w:val="japaneseCounting"/>
      <w:lvlText w:val="第%1章"/>
      <w:lvlJc w:val="left"/>
      <w:pPr>
        <w:ind w:left="1630" w:hanging="1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434933">
    <w:abstractNumId w:val="2"/>
  </w:num>
  <w:num w:numId="2" w16cid:durableId="1715156627">
    <w:abstractNumId w:val="0"/>
  </w:num>
  <w:num w:numId="3" w16cid:durableId="1026100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FFD"/>
    <w:rsid w:val="000175F9"/>
    <w:rsid w:val="001A1AFA"/>
    <w:rsid w:val="001B5C2E"/>
    <w:rsid w:val="001F1D6E"/>
    <w:rsid w:val="002C166B"/>
    <w:rsid w:val="003D76FF"/>
    <w:rsid w:val="003E5485"/>
    <w:rsid w:val="0049189E"/>
    <w:rsid w:val="00495F3F"/>
    <w:rsid w:val="00637C0B"/>
    <w:rsid w:val="0064285E"/>
    <w:rsid w:val="0065419E"/>
    <w:rsid w:val="00665044"/>
    <w:rsid w:val="006656BB"/>
    <w:rsid w:val="00773020"/>
    <w:rsid w:val="00784FB7"/>
    <w:rsid w:val="007E2A7A"/>
    <w:rsid w:val="00814E4A"/>
    <w:rsid w:val="008847F5"/>
    <w:rsid w:val="008A7576"/>
    <w:rsid w:val="008E5B42"/>
    <w:rsid w:val="00960241"/>
    <w:rsid w:val="00987900"/>
    <w:rsid w:val="009C0876"/>
    <w:rsid w:val="009E2D2A"/>
    <w:rsid w:val="00A34943"/>
    <w:rsid w:val="00A976FB"/>
    <w:rsid w:val="00AB1FFD"/>
    <w:rsid w:val="00AD1529"/>
    <w:rsid w:val="00B12AEF"/>
    <w:rsid w:val="00B82B3F"/>
    <w:rsid w:val="00B94901"/>
    <w:rsid w:val="00D146A2"/>
    <w:rsid w:val="00D15EF3"/>
    <w:rsid w:val="00D457F8"/>
    <w:rsid w:val="00D73E19"/>
    <w:rsid w:val="00E14093"/>
    <w:rsid w:val="00FE130B"/>
    <w:rsid w:val="00FF4ADC"/>
    <w:rsid w:val="00FF5BD9"/>
    <w:rsid w:val="52B852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6489C"/>
  <w15:docId w15:val="{9FA799AC-F4EA-4C92-9767-A47EECE7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2" w:lineRule="auto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120" w:after="0"/>
      <w:outlineLvl w:val="6"/>
    </w:pPr>
    <w:rPr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120" w:after="0"/>
      <w:outlineLvl w:val="7"/>
    </w:pPr>
    <w:rPr>
      <w:b/>
      <w:b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120" w:after="0"/>
      <w:outlineLvl w:val="8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b/>
      <w:bCs/>
      <w:sz w:val="18"/>
      <w:szCs w:val="18"/>
    </w:rPr>
  </w:style>
  <w:style w:type="paragraph" w:styleId="a4">
    <w:name w:val="Subtitle"/>
    <w:basedOn w:val="a"/>
    <w:next w:val="a"/>
    <w:link w:val="a5"/>
    <w:uiPriority w:val="11"/>
    <w:qFormat/>
    <w:p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paragraph" w:styleId="a6">
    <w:name w:val="Title"/>
    <w:basedOn w:val="a"/>
    <w:next w:val="a"/>
    <w:link w:val="a7"/>
    <w:uiPriority w:val="10"/>
    <w:qFormat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styleId="a8">
    <w:name w:val="Strong"/>
    <w:basedOn w:val="a0"/>
    <w:uiPriority w:val="22"/>
    <w:qFormat/>
    <w:rPr>
      <w:b/>
      <w:bCs/>
      <w:color w:val="auto"/>
    </w:rPr>
  </w:style>
  <w:style w:type="character" w:styleId="a9">
    <w:name w:val="Emphasis"/>
    <w:basedOn w:val="a0"/>
    <w:uiPriority w:val="20"/>
    <w:qFormat/>
    <w:rPr>
      <w:i/>
      <w:iCs/>
      <w:color w:val="auto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b/>
      <w:bCs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0">
    <w:name w:val="标题 7 字符"/>
    <w:basedOn w:val="a0"/>
    <w:link w:val="7"/>
    <w:uiPriority w:val="9"/>
    <w:semiHidden/>
    <w:rPr>
      <w:i/>
      <w:iCs/>
    </w:rPr>
  </w:style>
  <w:style w:type="character" w:customStyle="1" w:styleId="80">
    <w:name w:val="标题 8 字符"/>
    <w:basedOn w:val="a0"/>
    <w:link w:val="8"/>
    <w:uiPriority w:val="9"/>
    <w:semiHidden/>
    <w:rPr>
      <w:b/>
      <w:bCs/>
    </w:rPr>
  </w:style>
  <w:style w:type="character" w:customStyle="1" w:styleId="90">
    <w:name w:val="标题 9 字符"/>
    <w:basedOn w:val="a0"/>
    <w:link w:val="9"/>
    <w:uiPriority w:val="9"/>
    <w:semiHidden/>
    <w:rPr>
      <w:i/>
      <w:iCs/>
    </w:rPr>
  </w:style>
  <w:style w:type="character" w:customStyle="1" w:styleId="a7">
    <w:name w:val="标题 字符"/>
    <w:basedOn w:val="a0"/>
    <w:link w:val="a6"/>
    <w:uiPriority w:val="10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a5">
    <w:name w:val="副标题 字符"/>
    <w:basedOn w:val="a0"/>
    <w:link w:val="a4"/>
    <w:uiPriority w:val="11"/>
    <w:rPr>
      <w:rFonts w:asciiTheme="majorHAnsi" w:eastAsiaTheme="majorEastAsia" w:hAnsiTheme="majorHAnsi" w:cstheme="majorBidi"/>
      <w:sz w:val="24"/>
      <w:szCs w:val="24"/>
    </w:rPr>
  </w:style>
  <w:style w:type="paragraph" w:styleId="aa">
    <w:name w:val="No Spacing"/>
    <w:uiPriority w:val="1"/>
    <w:qFormat/>
    <w:pPr>
      <w:jc w:val="both"/>
    </w:pPr>
    <w:rPr>
      <w:sz w:val="22"/>
      <w:szCs w:val="22"/>
    </w:rPr>
  </w:style>
  <w:style w:type="paragraph" w:styleId="ab">
    <w:name w:val="Quote"/>
    <w:basedOn w:val="a"/>
    <w:next w:val="a"/>
    <w:link w:val="ac"/>
    <w:uiPriority w:val="29"/>
    <w:qFormat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ac">
    <w:name w:val="引用 字符"/>
    <w:basedOn w:val="a0"/>
    <w:link w:val="ab"/>
    <w:uiPriority w:val="29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ae">
    <w:name w:val="明显引用 字符"/>
    <w:basedOn w:val="a0"/>
    <w:link w:val="ad"/>
    <w:uiPriority w:val="30"/>
    <w:rPr>
      <w:rFonts w:asciiTheme="majorHAnsi" w:eastAsiaTheme="majorEastAsia" w:hAnsiTheme="majorHAnsi" w:cstheme="majorBidi"/>
      <w:sz w:val="26"/>
      <w:szCs w:val="26"/>
    </w:rPr>
  </w:style>
  <w:style w:type="character" w:customStyle="1" w:styleId="11">
    <w:name w:val="不明显强调1"/>
    <w:basedOn w:val="a0"/>
    <w:uiPriority w:val="19"/>
    <w:qFormat/>
    <w:rPr>
      <w:i/>
      <w:iCs/>
      <w:color w:val="auto"/>
    </w:rPr>
  </w:style>
  <w:style w:type="character" w:customStyle="1" w:styleId="12">
    <w:name w:val="明显强调1"/>
    <w:basedOn w:val="a0"/>
    <w:uiPriority w:val="21"/>
    <w:qFormat/>
    <w:rPr>
      <w:b/>
      <w:bCs/>
      <w:i/>
      <w:iCs/>
      <w:color w:val="auto"/>
    </w:rPr>
  </w:style>
  <w:style w:type="character" w:customStyle="1" w:styleId="13">
    <w:name w:val="不明显参考1"/>
    <w:basedOn w:val="a0"/>
    <w:uiPriority w:val="31"/>
    <w:qFormat/>
    <w:rPr>
      <w:smallCaps/>
      <w:color w:val="auto"/>
      <w:u w:val="single" w:color="7F7F7F" w:themeColor="text1" w:themeTint="80"/>
    </w:rPr>
  </w:style>
  <w:style w:type="character" w:customStyle="1" w:styleId="14">
    <w:name w:val="明显参考1"/>
    <w:basedOn w:val="a0"/>
    <w:uiPriority w:val="32"/>
    <w:qFormat/>
    <w:rPr>
      <w:b/>
      <w:bCs/>
      <w:smallCaps/>
      <w:color w:val="auto"/>
      <w:u w:val="single"/>
    </w:rPr>
  </w:style>
  <w:style w:type="character" w:customStyle="1" w:styleId="15">
    <w:name w:val="书籍标题1"/>
    <w:basedOn w:val="a0"/>
    <w:uiPriority w:val="33"/>
    <w:qFormat/>
    <w:rPr>
      <w:b/>
      <w:bCs/>
      <w:smallCaps/>
      <w:color w:val="auto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pPr>
      <w:outlineLvl w:val="9"/>
    </w:pPr>
  </w:style>
  <w:style w:type="paragraph" w:styleId="af">
    <w:name w:val="List Paragraph"/>
    <w:basedOn w:val="a"/>
    <w:uiPriority w:val="99"/>
    <w:unhideWhenUsed/>
    <w:rsid w:val="001F1D6E"/>
    <w:pPr>
      <w:ind w:firstLineChars="200" w:firstLine="420"/>
    </w:pPr>
  </w:style>
  <w:style w:type="paragraph" w:styleId="af0">
    <w:name w:val="header"/>
    <w:basedOn w:val="a"/>
    <w:link w:val="af1"/>
    <w:uiPriority w:val="99"/>
    <w:unhideWhenUsed/>
    <w:rsid w:val="00637C0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637C0B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637C0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637C0B"/>
    <w:rPr>
      <w:sz w:val="18"/>
      <w:szCs w:val="18"/>
    </w:rPr>
  </w:style>
  <w:style w:type="paragraph" w:customStyle="1" w:styleId="paragraph">
    <w:name w:val="paragraph"/>
    <w:basedOn w:val="a"/>
    <w:semiHidden/>
    <w:rsid w:val="00637C0B"/>
    <w:pPr>
      <w:spacing w:before="100" w:beforeAutospacing="1" w:after="100" w:afterAutospacing="1" w:line="240" w:lineRule="auto"/>
      <w:jc w:val="left"/>
    </w:pPr>
    <w:rPr>
      <w:rFonts w:ascii="等线" w:eastAsia="等线" w:hAnsi="等线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720</Words>
  <Characters>4106</Characters>
  <Application>Microsoft Office Word</Application>
  <DocSecurity>0</DocSecurity>
  <Lines>34</Lines>
  <Paragraphs>9</Paragraphs>
  <ScaleCrop>false</ScaleCrop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PKK110</dc:creator>
  <cp:lastModifiedBy>Vito Wong</cp:lastModifiedBy>
  <cp:revision>29</cp:revision>
  <dcterms:created xsi:type="dcterms:W3CDTF">2025-11-26T13:39:00Z</dcterms:created>
  <dcterms:modified xsi:type="dcterms:W3CDTF">2025-12-26T13:39:00Z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eaedf4220551425482000cb0c1b8d215_23</vt:lpwstr>
  </property>
  <property fmtid="{D5CDD505-2E9C-101B-9397-08002B2CF9AE}" pid="3" name="KSOTemplateDocerSaveRecord">
    <vt:lpwstr>eyJoZGlkIjoiMTM0ZDVkZWRiMzRiZGJkZDA5NzRmY2JkZDg4MGEwNzYiLCJ1c2VySWQiOiI4MDc3MTcyNDIifQ==</vt:lpwstr>
  </property>
  <property fmtid="{D5CDD505-2E9C-101B-9397-08002B2CF9AE}" pid="4" name="KSOProductBuildVer">
    <vt:lpwstr>2052-12.1.0.24034</vt:lpwstr>
  </property>
</Properties>
</file>