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80"/>
        <w:jc w:val="center"/>
      </w:pPr>
      <w:r>
        <w:rPr>
          <w:rFonts w:ascii="Arial" w:cs="Arial" w:eastAsia="Arial" w:hAnsi="Arial"/>
          <w:b/>
          <w:bCs/>
          <w:color w:val="4A6FA5"/>
          <w:sz w:val="20"/>
          <w:szCs w:val="20"/>
        </w:rPr>
        <w:t xml:space="preserve">RFC-001</w:t>
      </w:r>
    </w:p>
    <w:p>
      <w:pPr>
        <w:spacing w:after="120"/>
        <w:jc w:val="center"/>
      </w:pPr>
      <w:r>
        <w:rPr>
          <w:rFonts w:ascii="Arial" w:cs="Arial" w:eastAsia="Arial" w:hAnsi="Arial"/>
          <w:b/>
          <w:bCs/>
          <w:color w:val="1C3557"/>
          <w:sz w:val="48"/>
          <w:szCs w:val="48"/>
        </w:rPr>
        <w:t xml:space="preserve">RITUAL EVENT PROTOCOL</w:t>
      </w:r>
    </w:p>
    <w:p>
      <w:pPr>
        <w:spacing w:after="80"/>
        <w:jc w:val="center"/>
      </w:pPr>
      <w:r>
        <w:rPr>
          <w:rFonts w:ascii="Arial" w:cs="Arial" w:eastAsia="Arial" w:hAnsi="Arial"/>
          <w:color w:val="444444"/>
          <w:sz w:val="26"/>
          <w:szCs w:val="26"/>
        </w:rPr>
        <w:t xml:space="preserve">A Non-Monetary Coordination Grammar for Small-Scale Communities</w:t>
      </w:r>
    </w:p>
    <w:p>
      <w:pPr>
        <w:spacing w:after="80"/>
      </w:pPr>
      <w:r>
        <w:t xml:space="preserve"/>
      </w:r>
    </w:p>
    <w:p>
      <w:pPr>
        <w:spacing w:after="80"/>
        <w:jc w:val="center"/>
      </w:pPr>
      <w:r>
        <w:rPr>
          <w:rFonts w:ascii="Arial" w:cs="Arial" w:eastAsia="Arial" w:hAnsi="Arial"/>
          <w:color w:val="888888"/>
          <w:sz w:val="22"/>
          <w:szCs w:val="22"/>
        </w:rPr>
        <w:t xml:space="preserve">Version 1.0 — April 2024</w:t>
      </w:r>
    </w:p>
    <w:p>
      <w:pPr>
        <w:spacing w:after="80"/>
        <w:jc w:val="center"/>
      </w:pPr>
      <w:r>
        <w:rPr>
          <w:rFonts w:ascii="Arial" w:cs="Arial" w:eastAsia="Arial" w:hAnsi="Arial"/>
          <w:color w:val="888888"/>
          <w:sz w:val="22"/>
          <w:szCs w:val="22"/>
        </w:rPr>
        <w:t xml:space="preserve">Status: Proposed Standard</w:t>
      </w:r>
    </w:p>
    <w:p>
      <w:pPr>
        <w:spacing w:after="80"/>
        <w:jc w:val="center"/>
      </w:pPr>
      <w:r>
        <w:rPr>
          <w:rFonts w:ascii="Arial" w:cs="Arial" w:eastAsia="Arial" w:hAnsi="Arial"/>
          <w:color w:val="4A6FA5"/>
          <w:sz w:val="22"/>
          <w:szCs w:val="22"/>
        </w:rPr>
        <w:t xml:space="preserve">This document has no owner. Fork freely.</w:t>
      </w:r>
    </w:p>
    <w:p>
      <w:pPr>
        <w:pBdr>
          <w:bottom w:val="single" w:color="CCCCCC" w:sz="2" w:space="1"/>
        </w:pBdr>
        <w:spacing w:before="160" w:after="160"/>
      </w:pPr>
      <w:r>
        <w:t xml:space="preserve"/>
      </w:r>
    </w:p>
    <w:p>
      <w:pPr>
        <w:pStyle w:val="Heading1"/>
      </w:pPr>
      <w:r>
        <w:t xml:space="preserve">Abstract</w:t>
      </w:r>
    </w:p>
    <w:p>
      <w:pPr>
        <w:spacing w:after="120"/>
      </w:pPr>
      <w:r>
        <w:rPr>
          <w:rFonts w:ascii="Arial" w:cs="Arial" w:eastAsia="Arial" w:hAnsi="Arial"/>
          <w:sz w:val="22"/>
          <w:szCs w:val="22"/>
        </w:rPr>
        <w:t xml:space="preserve">The Ritual Event Protocol (REP) is a minimal coordination grammar for small-scale communities operating without monetary infrastructure. REP defines a standard format for recording bilateral commitments between community members — what one party offers and what the other requests — along with social witnessing requirements, expiration conditions, and status tracking.</w:t>
      </w:r>
    </w:p>
    <w:p>
      <w:pPr>
        <w:spacing w:after="120"/>
      </w:pPr>
      <w:r>
        <w:rPr>
          <w:rFonts w:ascii="Arial" w:cs="Arial" w:eastAsia="Arial" w:hAnsi="Arial"/>
          <w:sz w:val="22"/>
          <w:szCs w:val="22"/>
        </w:rPr>
        <w:t xml:space="preserve">REP is not a currency, not a barter system, and not a ledger. It is a witnessing layer: a shared memory for what humans have agreed to do for each other. REP cannot enforce, automate, or scale. It replicates by forking.</w:t>
      </w:r>
    </w:p>
    <w:p>
      <w:pPr>
        <w:spacing w:after="120"/>
      </w:pPr>
      <w:r>
        <w:rPr>
          <w:rFonts w:ascii="Arial" w:cs="Arial" w:eastAsia="Arial" w:hAnsi="Arial"/>
          <w:sz w:val="22"/>
          <w:szCs w:val="22"/>
        </w:rPr>
        <w:t xml:space="preserve">This document specifies the REP record format, the physical card design, the social density requirements, the witnessing protocol, and the boundaries of what REP is not permitted to become.</w:t>
      </w:r>
    </w:p>
    <w:p>
      <w:pPr>
        <w:pBdr>
          <w:bottom w:val="single" w:color="CCCCCC" w:sz="2" w:space="1"/>
        </w:pBdr>
        <w:spacing w:before="160" w:after="160"/>
      </w:pPr>
      <w:r>
        <w:t xml:space="preserve"/>
      </w:r>
    </w:p>
    <w:p>
      <w:pPr>
        <w:pStyle w:val="Heading1"/>
      </w:pPr>
      <w:r>
        <w:t xml:space="preserve">1. Status of This Document</w:t>
      </w:r>
    </w:p>
    <w:p>
      <w:pPr>
        <w:spacing w:after="80"/>
      </w:pPr>
      <w:r>
        <w:rPr>
          <w:rFonts w:ascii="Arial" w:cs="Arial" w:eastAsia="Arial" w:hAnsi="Arial"/>
          <w:b/>
          <w:bCs/>
          <w:color w:val="1C3557"/>
          <w:sz w:val="22"/>
          <w:szCs w:val="22"/>
        </w:rPr>
        <w:t xml:space="preserve">Document identifier: </w:t>
      </w:r>
      <w:r>
        <w:rPr>
          <w:rFonts w:ascii="Arial" w:cs="Arial" w:eastAsia="Arial" w:hAnsi="Arial"/>
          <w:sz w:val="22"/>
          <w:szCs w:val="22"/>
        </w:rPr>
        <w:t xml:space="preserve">REP-RFC-001</w:t>
      </w:r>
    </w:p>
    <w:p>
      <w:pPr>
        <w:spacing w:after="80"/>
      </w:pPr>
      <w:r>
        <w:rPr>
          <w:rFonts w:ascii="Arial" w:cs="Arial" w:eastAsia="Arial" w:hAnsi="Arial"/>
          <w:b/>
          <w:bCs/>
          <w:color w:val="1C3557"/>
          <w:sz w:val="22"/>
          <w:szCs w:val="22"/>
        </w:rPr>
        <w:t xml:space="preserve">Version: </w:t>
      </w:r>
      <w:r>
        <w:rPr>
          <w:rFonts w:ascii="Arial" w:cs="Arial" w:eastAsia="Arial" w:hAnsi="Arial"/>
          <w:sz w:val="22"/>
          <w:szCs w:val="22"/>
        </w:rPr>
        <w:t xml:space="preserve">1.0</w:t>
      </w:r>
    </w:p>
    <w:p>
      <w:pPr>
        <w:spacing w:after="80"/>
      </w:pPr>
      <w:r>
        <w:rPr>
          <w:rFonts w:ascii="Arial" w:cs="Arial" w:eastAsia="Arial" w:hAnsi="Arial"/>
          <w:b/>
          <w:bCs/>
          <w:color w:val="1C3557"/>
          <w:sz w:val="22"/>
          <w:szCs w:val="22"/>
        </w:rPr>
        <w:t xml:space="preserve">Date: </w:t>
      </w:r>
      <w:r>
        <w:rPr>
          <w:rFonts w:ascii="Arial" w:cs="Arial" w:eastAsia="Arial" w:hAnsi="Arial"/>
          <w:sz w:val="22"/>
          <w:szCs w:val="22"/>
        </w:rPr>
        <w:t xml:space="preserve">April 2024</w:t>
      </w:r>
    </w:p>
    <w:p>
      <w:pPr>
        <w:spacing w:after="80"/>
      </w:pPr>
      <w:r>
        <w:rPr>
          <w:rFonts w:ascii="Arial" w:cs="Arial" w:eastAsia="Arial" w:hAnsi="Arial"/>
          <w:b/>
          <w:bCs/>
          <w:color w:val="1C3557"/>
          <w:sz w:val="22"/>
          <w:szCs w:val="22"/>
        </w:rPr>
        <w:t xml:space="preserve">Authors: </w:t>
      </w:r>
      <w:r>
        <w:rPr>
          <w:rFonts w:ascii="Arial" w:cs="Arial" w:eastAsia="Arial" w:hAnsi="Arial"/>
          <w:sz w:val="22"/>
          <w:szCs w:val="22"/>
        </w:rPr>
        <w:t xml:space="preserve">Originated in open collaboration. No single author. No owner.</w:t>
      </w:r>
    </w:p>
    <w:p>
      <w:pPr>
        <w:spacing w:after="80"/>
      </w:pPr>
      <w:r>
        <w:rPr>
          <w:rFonts w:ascii="Arial" w:cs="Arial" w:eastAsia="Arial" w:hAnsi="Arial"/>
          <w:b/>
          <w:bCs/>
          <w:color w:val="1C3557"/>
          <w:sz w:val="22"/>
          <w:szCs w:val="22"/>
        </w:rPr>
        <w:t xml:space="preserve">License: </w:t>
      </w:r>
      <w:r>
        <w:rPr>
          <w:rFonts w:ascii="Arial" w:cs="Arial" w:eastAsia="Arial" w:hAnsi="Arial"/>
          <w:sz w:val="22"/>
          <w:szCs w:val="22"/>
        </w:rPr>
        <w:t xml:space="preserve">None. This document is in the public domain by intention, not by legal instrument. No permission is required to copy, translate, modify, or fork it.</w:t>
      </w:r>
    </w:p>
    <w:p>
      <w:pPr>
        <w:spacing w:after="80"/>
      </w:pPr>
      <w:r>
        <w:rPr>
          <w:rFonts w:ascii="Arial" w:cs="Arial" w:eastAsia="Arial" w:hAnsi="Arial"/>
          <w:b/>
          <w:bCs/>
          <w:color w:val="1C3557"/>
          <w:sz w:val="22"/>
          <w:szCs w:val="22"/>
        </w:rPr>
        <w:t xml:space="preserve">Stability: </w:t>
      </w:r>
      <w:r>
        <w:rPr>
          <w:rFonts w:ascii="Arial" w:cs="Arial" w:eastAsia="Arial" w:hAnsi="Arial"/>
          <w:sz w:val="22"/>
          <w:szCs w:val="22"/>
        </w:rPr>
        <w:t xml:space="preserve">This version is considered a proposed standard. Communities are encouraged to fork and adapt without seeking approval.</w:t>
      </w:r>
    </w:p>
    <w:p>
      <w:pPr>
        <w:pBdr>
          <w:bottom w:val="single" w:color="CCCCCC" w:sz="2" w:space="1"/>
        </w:pBdr>
        <w:spacing w:before="160" w:after="160"/>
      </w:pPr>
      <w:r>
        <w:t xml:space="preserve"/>
      </w:r>
    </w:p>
    <w:p>
      <w:pPr>
        <w:pStyle w:val="Heading1"/>
      </w:pPr>
      <w:r>
        <w:t xml:space="preserve">2. Background and Motivation</w:t>
      </w:r>
    </w:p>
    <w:p>
      <w:pPr>
        <w:pStyle w:val="Heading2"/>
      </w:pPr>
      <w:r>
        <w:t xml:space="preserve">2.1 Existing Coordination Systems</w:t>
      </w:r>
    </w:p>
    <w:p>
      <w:pPr>
        <w:spacing w:after="120"/>
      </w:pPr>
      <w:r>
        <w:rPr>
          <w:rFonts w:ascii="Arial" w:cs="Arial" w:eastAsia="Arial" w:hAnsi="Arial"/>
          <w:sz w:val="22"/>
          <w:szCs w:val="22"/>
        </w:rPr>
        <w:t xml:space="preserve">Communities have always coordinated without money. Traditional reciprocal labor systems exist across cultures and geographies:</w:t>
      </w:r>
    </w:p>
    <w:p>
      <w:pPr>
        <w:pStyle w:val="ListParagraph"/>
        <w:numPr>
          <w:ilvl w:val="0"/>
          <w:numId w:val="2"/>
        </w:numPr>
        <w:spacing w:after="80"/>
      </w:pPr>
      <w:r>
        <w:rPr>
          <w:rFonts w:ascii="Arial" w:cs="Arial" w:eastAsia="Arial" w:hAnsi="Arial"/>
          <w:sz w:val="22"/>
          <w:szCs w:val="22"/>
        </w:rPr>
        <w:t xml:space="preserve">Parma (Nepal, Gandaki Province and broader hill communities): rotational labor exchange for agricultural tasks, mediated by social obligation and communal memory.</w:t>
      </w:r>
    </w:p>
    <w:p>
      <w:pPr>
        <w:pStyle w:val="ListParagraph"/>
        <w:numPr>
          <w:ilvl w:val="0"/>
          <w:numId w:val="2"/>
        </w:numPr>
        <w:spacing w:after="80"/>
      </w:pPr>
      <w:r>
        <w:rPr>
          <w:rFonts w:ascii="Arial" w:cs="Arial" w:eastAsia="Arial" w:hAnsi="Arial"/>
          <w:sz w:val="22"/>
          <w:szCs w:val="22"/>
        </w:rPr>
        <w:t xml:space="preserve">Ilima (Southern Africa, including Kavango and Zambezi regions of Namibia): communal work parties for collective tasks, hosted and fed by the beneficiary household.</w:t>
      </w:r>
    </w:p>
    <w:p>
      <w:pPr>
        <w:pStyle w:val="ListParagraph"/>
        <w:numPr>
          <w:ilvl w:val="0"/>
          <w:numId w:val="2"/>
        </w:numPr>
        <w:spacing w:after="80"/>
      </w:pPr>
      <w:r>
        <w:rPr>
          <w:rFonts w:ascii="Arial" w:cs="Arial" w:eastAsia="Arial" w:hAnsi="Arial"/>
          <w:sz w:val="22"/>
          <w:szCs w:val="22"/>
        </w:rPr>
        <w:t xml:space="preserve">Minga (Andean communities): collective action for infrastructure and community works.</w:t>
      </w:r>
    </w:p>
    <w:p>
      <w:pPr>
        <w:pStyle w:val="ListParagraph"/>
        <w:numPr>
          <w:ilvl w:val="0"/>
          <w:numId w:val="2"/>
        </w:numPr>
        <w:spacing w:after="80"/>
      </w:pPr>
      <w:r>
        <w:rPr>
          <w:rFonts w:ascii="Arial" w:cs="Arial" w:eastAsia="Arial" w:hAnsi="Arial"/>
          <w:sz w:val="22"/>
          <w:szCs w:val="22"/>
        </w:rPr>
        <w:t xml:space="preserve">Meitheal (Ireland): seasonal cooperative labor among neighboring households.</w:t>
      </w:r>
    </w:p>
    <w:p>
      <w:pPr>
        <w:spacing w:after="120"/>
      </w:pPr>
      <w:r>
        <w:rPr>
          <w:rFonts w:ascii="Arial" w:cs="Arial" w:eastAsia="Arial" w:hAnsi="Arial"/>
          <w:sz w:val="22"/>
          <w:szCs w:val="22"/>
        </w:rPr>
        <w:t xml:space="preserve">These systems share core properties: no unit of account, no stored value, enforcement through reputation and social density, and automatic expiration through cultural memory rather than formal contract.</w:t>
      </w:r>
    </w:p>
    <w:p>
      <w:pPr>
        <w:pStyle w:val="Heading2"/>
      </w:pPr>
      <w:r>
        <w:t xml:space="preserve">2.2 The Problem REP Addresses</w:t>
      </w:r>
    </w:p>
    <w:p>
      <w:pPr>
        <w:spacing w:after="120"/>
      </w:pPr>
      <w:r>
        <w:rPr>
          <w:rFonts w:ascii="Arial" w:cs="Arial" w:eastAsia="Arial" w:hAnsi="Arial"/>
          <w:sz w:val="22"/>
          <w:szCs w:val="22"/>
        </w:rPr>
        <w:t xml:space="preserve">These systems are robust but informal. Their memory is social. When communities face stress — displacement, population change, weakened social fabric — the informal memory becomes unreliable. Commitments are forgotten or disputed. Trust erodes.</w:t>
      </w:r>
    </w:p>
    <w:p>
      <w:pPr>
        <w:spacing w:after="120"/>
      </w:pPr>
      <w:r>
        <w:rPr>
          <w:rFonts w:ascii="Arial" w:cs="Arial" w:eastAsia="Arial" w:hAnsi="Arial"/>
          <w:sz w:val="22"/>
          <w:szCs w:val="22"/>
        </w:rPr>
        <w:t xml:space="preserve">REP does not replace informal coordination. It provides a witnessing layer: a lightweight, physical record that supports the social memory without displacing it.</w:t>
      </w:r>
    </w:p>
    <w:p>
      <w:pPr>
        <w:pStyle w:val="Heading2"/>
      </w:pPr>
      <w:r>
        <w:t xml:space="preserve">2.3 What REP Is Not</w:t>
      </w:r>
    </w:p>
    <w:p>
      <w:pPr>
        <w:pStyle w:val="ListParagraph"/>
        <w:numPr>
          <w:ilvl w:val="0"/>
          <w:numId w:val="2"/>
        </w:numPr>
        <w:spacing w:after="80"/>
      </w:pPr>
      <w:r>
        <w:rPr>
          <w:rFonts w:ascii="Arial" w:cs="Arial" w:eastAsia="Arial" w:hAnsi="Arial"/>
          <w:sz w:val="22"/>
          <w:szCs w:val="22"/>
        </w:rPr>
        <w:t xml:space="preserve">REP is not a currency. There is no unit of account.</w:t>
      </w:r>
    </w:p>
    <w:p>
      <w:pPr>
        <w:pStyle w:val="ListParagraph"/>
        <w:numPr>
          <w:ilvl w:val="0"/>
          <w:numId w:val="2"/>
        </w:numPr>
        <w:spacing w:after="80"/>
      </w:pPr>
      <w:r>
        <w:rPr>
          <w:rFonts w:ascii="Arial" w:cs="Arial" w:eastAsia="Arial" w:hAnsi="Arial"/>
          <w:sz w:val="22"/>
          <w:szCs w:val="22"/>
        </w:rPr>
        <w:t xml:space="preserve">REP is not a ledger. It does not track balances or obligations across time.</w:t>
      </w:r>
    </w:p>
    <w:p>
      <w:pPr>
        <w:pStyle w:val="ListParagraph"/>
        <w:numPr>
          <w:ilvl w:val="0"/>
          <w:numId w:val="2"/>
        </w:numPr>
        <w:spacing w:after="80"/>
      </w:pPr>
      <w:r>
        <w:rPr>
          <w:rFonts w:ascii="Arial" w:cs="Arial" w:eastAsia="Arial" w:hAnsi="Arial"/>
          <w:sz w:val="22"/>
          <w:szCs w:val="22"/>
        </w:rPr>
        <w:t xml:space="preserve">REP is not a smart contract. It cannot enforce anything.</w:t>
      </w:r>
    </w:p>
    <w:p>
      <w:pPr>
        <w:pStyle w:val="ListParagraph"/>
        <w:numPr>
          <w:ilvl w:val="0"/>
          <w:numId w:val="2"/>
        </w:numPr>
        <w:spacing w:after="80"/>
      </w:pPr>
      <w:r>
        <w:rPr>
          <w:rFonts w:ascii="Arial" w:cs="Arial" w:eastAsia="Arial" w:hAnsi="Arial"/>
          <w:sz w:val="22"/>
          <w:szCs w:val="22"/>
        </w:rPr>
        <w:t xml:space="preserve">REP is not an upgrade to barter. It is a distinct coordination grammar.</w:t>
      </w:r>
    </w:p>
    <w:p>
      <w:pPr>
        <w:pStyle w:val="ListParagraph"/>
        <w:numPr>
          <w:ilvl w:val="0"/>
          <w:numId w:val="2"/>
        </w:numPr>
        <w:spacing w:after="80"/>
      </w:pPr>
      <w:r>
        <w:rPr>
          <w:rFonts w:ascii="Arial" w:cs="Arial" w:eastAsia="Arial" w:hAnsi="Arial"/>
          <w:sz w:val="22"/>
          <w:szCs w:val="22"/>
        </w:rPr>
        <w:t xml:space="preserve">REP is not a platform. It has no central operator.</w:t>
      </w:r>
    </w:p>
    <w:p>
      <w:pPr>
        <w:pStyle w:val="ListParagraph"/>
        <w:numPr>
          <w:ilvl w:val="0"/>
          <w:numId w:val="2"/>
        </w:numPr>
        <w:spacing w:after="80"/>
      </w:pPr>
      <w:r>
        <w:rPr>
          <w:rFonts w:ascii="Arial" w:cs="Arial" w:eastAsia="Arial" w:hAnsi="Arial"/>
          <w:sz w:val="22"/>
          <w:szCs w:val="22"/>
        </w:rPr>
        <w:t xml:space="preserve">REP is not owned. It cannot be licensed, sold, or controlled.</w:t>
      </w:r>
    </w:p>
    <w:p>
      <w:pPr>
        <w:pBdr>
          <w:bottom w:val="single" w:color="CCCCCC" w:sz="2" w:space="1"/>
        </w:pBdr>
        <w:spacing w:before="160" w:after="160"/>
      </w:pPr>
      <w:r>
        <w:t xml:space="preserve"/>
      </w:r>
    </w:p>
    <w:p>
      <w:pPr>
        <w:pStyle w:val="Heading1"/>
      </w:pPr>
      <w:r>
        <w:t xml:space="preserve">3. Core Design Principles</w:t>
      </w:r>
    </w:p>
    <w:p>
      <w:pPr>
        <w:pStyle w:val="Heading2"/>
      </w:pPr>
      <w:r>
        <w:t xml:space="preserve">3.1 No Unit of Account</w:t>
      </w:r>
    </w:p>
    <w:p>
      <w:pPr>
        <w:spacing w:after="120"/>
      </w:pPr>
      <w:r>
        <w:rPr>
          <w:rFonts w:ascii="Arial" w:cs="Arial" w:eastAsia="Arial" w:hAnsi="Arial"/>
          <w:sz w:val="22"/>
          <w:szCs w:val="22"/>
        </w:rPr>
        <w:t xml:space="preserve">REP records describe actions and goods only. Quantities may be expressed in physical terms (bundles, days, kilograms) but never in monetary terms. A REP record containing a price is malformed.</w:t>
      </w:r>
    </w:p>
    <w:p>
      <w:pPr>
        <w:spacing w:after="120"/>
      </w:pPr>
      <w:r>
        <w:rPr>
          <w:rFonts w:ascii="Arial" w:cs="Arial" w:eastAsia="Arial" w:hAnsi="Arial"/>
          <w:sz w:val="22"/>
          <w:szCs w:val="22"/>
        </w:rPr>
        <w:t xml:space="preserve">Good: "Two days of field clearing" | Bad: "Work worth Rs. 400"</w:t>
      </w:r>
    </w:p>
    <w:p>
      <w:pPr>
        <w:pStyle w:val="Heading2"/>
      </w:pPr>
      <w:r>
        <w:t xml:space="preserve">3.2 Event-Scoped Commitments</w:t>
      </w:r>
    </w:p>
    <w:p>
      <w:pPr>
        <w:spacing w:after="120"/>
      </w:pPr>
      <w:r>
        <w:rPr>
          <w:rFonts w:ascii="Arial" w:cs="Arial" w:eastAsia="Arial" w:hAnsi="Arial"/>
          <w:sz w:val="22"/>
          <w:szCs w:val="22"/>
        </w:rPr>
        <w:t xml:space="preserve">Every REP record has a created date and an expiry date. Records do not accumulate. An expired record cannot be reactivated; a new record must be created if the commitment is renewed. This expiration is intentional: it prevents the emergence of long-term debt relationships.</w:t>
      </w:r>
    </w:p>
    <w:p>
      <w:pPr>
        <w:pStyle w:val="Heading2"/>
      </w:pPr>
      <w:r>
        <w:t xml:space="preserve">3.3 Human Witnessing Requirement</w:t>
      </w:r>
    </w:p>
    <w:p>
      <w:pPr>
        <w:spacing w:after="120"/>
      </w:pPr>
      <w:r>
        <w:rPr>
          <w:rFonts w:ascii="Arial" w:cs="Arial" w:eastAsia="Arial" w:hAnsi="Arial"/>
          <w:sz w:val="22"/>
          <w:szCs w:val="22"/>
        </w:rPr>
        <w:t xml:space="preserve">A minimum of two witnesses, physically present at the time of agreement, are required for a REP record to be considered valid. Witnesses sign or thumbprint the physical card. Digital records must include witness names. No remote or asynchronous witnessing is valid under this specification.</w:t>
      </w:r>
    </w:p>
    <w:p>
      <w:pPr>
        <w:pStyle w:val="Heading2"/>
      </w:pPr>
      <w:r>
        <w:t xml:space="preserve">3.4 Intentional Inefficiency</w:t>
      </w:r>
    </w:p>
    <w:p>
      <w:pPr>
        <w:spacing w:after="120"/>
      </w:pPr>
      <w:r>
        <w:rPr>
          <w:rFonts w:ascii="Arial" w:cs="Arial" w:eastAsia="Arial" w:hAnsi="Arial"/>
          <w:sz w:val="22"/>
          <w:szCs w:val="22"/>
        </w:rPr>
        <w:t xml:space="preserve">REP is deliberately slow and human-mediated. Automation stops at the informational layer. The inefficiency is a feature: it prevents REP from being absorbed into faster, automated systems that could reintroduce the coordination failures it was designed to avoid.</w:t>
      </w:r>
    </w:p>
    <w:p>
      <w:pPr>
        <w:pStyle w:val="Heading2"/>
      </w:pPr>
      <w:r>
        <w:t xml:space="preserve">3.5 Forkability</w:t>
      </w:r>
    </w:p>
    <w:p>
      <w:pPr>
        <w:spacing w:after="120"/>
      </w:pPr>
      <w:r>
        <w:rPr>
          <w:rFonts w:ascii="Arial" w:cs="Arial" w:eastAsia="Arial" w:hAnsi="Arial"/>
          <w:sz w:val="22"/>
          <w:szCs w:val="22"/>
        </w:rPr>
        <w:t xml:space="preserve">Any community may copy, rename, adapt, and redistribute REP without permission. The ID prefix, the watermark motif, the language, and the card design are all forkable. The core protocol structure — offer, request, witnesses, expiry, status — is the stable core. Everything else is local customization.</w:t>
      </w:r>
    </w:p>
    <w:p>
      <w:pPr>
        <w:pStyle w:val="Heading2"/>
      </w:pPr>
      <w:r>
        <w:t xml:space="preserve">3.6 Social Density Requirement</w:t>
      </w:r>
    </w:p>
    <w:p>
      <w:pPr>
        <w:spacing w:after="120"/>
      </w:pPr>
      <w:r>
        <w:rPr>
          <w:rFonts w:ascii="Arial" w:cs="Arial" w:eastAsia="Arial" w:hAnsi="Arial"/>
          <w:sz w:val="22"/>
          <w:szCs w:val="22"/>
        </w:rPr>
        <w:t xml:space="preserve">REP functions in communities of 15 to 150 people. Below 15, witnessing requirements cannot be meaningfully distributed. Above 150, social memory degrades and REP’s enforcement mechanism — reputation — weakens. Communities larger than 150 should fork REP into multiple local instances rather than scaling a single instance.</w:t>
      </w:r>
    </w:p>
    <w:p>
      <w:pPr>
        <w:pBdr>
          <w:bottom w:val="single" w:color="CCCCCC" w:sz="2" w:space="1"/>
        </w:pBdr>
        <w:spacing w:before="160" w:after="160"/>
      </w:pPr>
      <w:r>
        <w:t xml:space="preserve"/>
      </w:r>
    </w:p>
    <w:p>
      <w:pPr>
        <w:pStyle w:val="Heading1"/>
      </w:pPr>
      <w:r>
        <w:t xml:space="preserve">4. Record Format Specification</w:t>
      </w:r>
    </w:p>
    <w:p>
      <w:pPr>
        <w:pStyle w:val="Heading2"/>
      </w:pPr>
      <w:r>
        <w:t xml:space="preserve">4.1 Required Fields</w:t>
      </w:r>
    </w:p>
    <w:p>
      <w:pPr>
        <w:spacing w:after="120"/>
      </w:pPr>
      <w:r>
        <w:rPr>
          <w:rFonts w:ascii="Arial" w:cs="Arial" w:eastAsia="Arial" w:hAnsi="Arial"/>
          <w:sz w:val="22"/>
          <w:szCs w:val="22"/>
        </w:rPr>
        <w:t xml:space="preserve">Every REP record, whether physical or digital, must contain the following fields:</w:t>
      </w:r>
    </w:p>
    <w:p>
      <w:pPr>
        <w:pStyle w:val="ListParagraph"/>
        <w:numPr>
          <w:ilvl w:val="0"/>
          <w:numId w:val="2"/>
        </w:numPr>
        <w:spacing w:after="80"/>
      </w:pPr>
      <w:r>
        <w:rPr>
          <w:rFonts w:ascii="Arial" w:cs="Arial" w:eastAsia="Arial" w:hAnsi="Arial"/>
          <w:sz w:val="22"/>
          <w:szCs w:val="22"/>
        </w:rPr>
        <w:t xml:space="preserve">Record ID: A unique identifier in the format [PREFIX]-[YEAR]-[SEQUENCE]. Example: NPL-2024-017</w:t>
      </w:r>
    </w:p>
    <w:p>
      <w:pPr>
        <w:pStyle w:val="ListParagraph"/>
        <w:numPr>
          <w:ilvl w:val="0"/>
          <w:numId w:val="2"/>
        </w:numPr>
        <w:spacing w:after="80"/>
      </w:pPr>
      <w:r>
        <w:rPr>
          <w:rFonts w:ascii="Arial" w:cs="Arial" w:eastAsia="Arial" w:hAnsi="Arial"/>
          <w:sz w:val="22"/>
          <w:szCs w:val="22"/>
        </w:rPr>
        <w:t xml:space="preserve">Created Date: The date both parties agreed, in DD Mon YYYY format.</w:t>
      </w:r>
    </w:p>
    <w:p>
      <w:pPr>
        <w:pStyle w:val="ListParagraph"/>
        <w:numPr>
          <w:ilvl w:val="0"/>
          <w:numId w:val="2"/>
        </w:numPr>
        <w:spacing w:after="80"/>
      </w:pPr>
      <w:r>
        <w:rPr>
          <w:rFonts w:ascii="Arial" w:cs="Arial" w:eastAsia="Arial" w:hAnsi="Arial"/>
          <w:sz w:val="22"/>
          <w:szCs w:val="22"/>
        </w:rPr>
        <w:t xml:space="preserve">Expires Date: Typically 7 days after creation. Communities may adopt local norms.</w:t>
      </w:r>
    </w:p>
    <w:p>
      <w:pPr>
        <w:pStyle w:val="ListParagraph"/>
        <w:numPr>
          <w:ilvl w:val="0"/>
          <w:numId w:val="2"/>
        </w:numPr>
        <w:spacing w:after="80"/>
      </w:pPr>
      <w:r>
        <w:rPr>
          <w:rFonts w:ascii="Arial" w:cs="Arial" w:eastAsia="Arial" w:hAnsi="Arial"/>
          <w:sz w:val="22"/>
          <w:szCs w:val="22"/>
        </w:rPr>
        <w:t xml:space="preserve">Participant A: Full name of the party making the Offer.</w:t>
      </w:r>
    </w:p>
    <w:p>
      <w:pPr>
        <w:pStyle w:val="ListParagraph"/>
        <w:numPr>
          <w:ilvl w:val="0"/>
          <w:numId w:val="2"/>
        </w:numPr>
        <w:spacing w:after="80"/>
      </w:pPr>
      <w:r>
        <w:rPr>
          <w:rFonts w:ascii="Arial" w:cs="Arial" w:eastAsia="Arial" w:hAnsi="Arial"/>
          <w:sz w:val="22"/>
          <w:szCs w:val="22"/>
        </w:rPr>
        <w:t xml:space="preserve">Participant B: Full name of the party making the Request.</w:t>
      </w:r>
    </w:p>
    <w:p>
      <w:pPr>
        <w:pStyle w:val="ListParagraph"/>
        <w:numPr>
          <w:ilvl w:val="0"/>
          <w:numId w:val="2"/>
        </w:numPr>
        <w:spacing w:after="80"/>
      </w:pPr>
      <w:r>
        <w:rPr>
          <w:rFonts w:ascii="Arial" w:cs="Arial" w:eastAsia="Arial" w:hAnsi="Arial"/>
          <w:sz w:val="22"/>
          <w:szCs w:val="22"/>
        </w:rPr>
        <w:t xml:space="preserve">Offer: Plain language description of what Participant A will provide. No monetary values.</w:t>
      </w:r>
    </w:p>
    <w:p>
      <w:pPr>
        <w:pStyle w:val="ListParagraph"/>
        <w:numPr>
          <w:ilvl w:val="0"/>
          <w:numId w:val="2"/>
        </w:numPr>
        <w:spacing w:after="80"/>
      </w:pPr>
      <w:r>
        <w:rPr>
          <w:rFonts w:ascii="Arial" w:cs="Arial" w:eastAsia="Arial" w:hAnsi="Arial"/>
          <w:sz w:val="22"/>
          <w:szCs w:val="22"/>
        </w:rPr>
        <w:t xml:space="preserve">Request: Plain language description of what Participant B will provide. No monetary values.</w:t>
      </w:r>
    </w:p>
    <w:p>
      <w:pPr>
        <w:pStyle w:val="ListParagraph"/>
        <w:numPr>
          <w:ilvl w:val="0"/>
          <w:numId w:val="2"/>
        </w:numPr>
        <w:spacing w:after="80"/>
      </w:pPr>
      <w:r>
        <w:rPr>
          <w:rFonts w:ascii="Arial" w:cs="Arial" w:eastAsia="Arial" w:hAnsi="Arial"/>
          <w:sz w:val="22"/>
          <w:szCs w:val="22"/>
        </w:rPr>
        <w:t xml:space="preserve">Witness 1: Full name. Must be physically present at agreement.</w:t>
      </w:r>
    </w:p>
    <w:p>
      <w:pPr>
        <w:pStyle w:val="ListParagraph"/>
        <w:numPr>
          <w:ilvl w:val="0"/>
          <w:numId w:val="2"/>
        </w:numPr>
        <w:spacing w:after="80"/>
      </w:pPr>
      <w:r>
        <w:rPr>
          <w:rFonts w:ascii="Arial" w:cs="Arial" w:eastAsia="Arial" w:hAnsi="Arial"/>
          <w:sz w:val="22"/>
          <w:szCs w:val="22"/>
        </w:rPr>
        <w:t xml:space="preserve">Witness 2: Full name. Must be physically present at agreement. Minimum two required.</w:t>
      </w:r>
    </w:p>
    <w:p>
      <w:pPr>
        <w:pStyle w:val="ListParagraph"/>
        <w:numPr>
          <w:ilvl w:val="0"/>
          <w:numId w:val="2"/>
        </w:numPr>
        <w:spacing w:after="80"/>
      </w:pPr>
      <w:r>
        <w:rPr>
          <w:rFonts w:ascii="Arial" w:cs="Arial" w:eastAsia="Arial" w:hAnsi="Arial"/>
          <w:sz w:val="22"/>
          <w:szCs w:val="22"/>
        </w:rPr>
        <w:t xml:space="preserve">Status: One of Active, Completed, Unresolved, or Abandoned (see Section 4.3).</w:t>
      </w:r>
    </w:p>
    <w:p>
      <w:pPr>
        <w:pStyle w:val="Heading2"/>
      </w:pPr>
      <w:r>
        <w:t xml:space="preserve">4.2 Optional Fields</w:t>
      </w:r>
    </w:p>
    <w:p>
      <w:pPr>
        <w:pStyle w:val="ListParagraph"/>
        <w:numPr>
          <w:ilvl w:val="0"/>
          <w:numId w:val="2"/>
        </w:numPr>
        <w:spacing w:after="80"/>
      </w:pPr>
      <w:r>
        <w:rPr>
          <w:rFonts w:ascii="Arial" w:cs="Arial" w:eastAsia="Arial" w:hAnsi="Arial"/>
          <w:sz w:val="22"/>
          <w:szCs w:val="22"/>
        </w:rPr>
        <w:t xml:space="preserve">Waiver: N/A or Recorded (bilateral) — indicates whether either party has waived a claim.</w:t>
      </w:r>
    </w:p>
    <w:p>
      <w:pPr>
        <w:pStyle w:val="ListParagraph"/>
        <w:numPr>
          <w:ilvl w:val="0"/>
          <w:numId w:val="2"/>
        </w:numPr>
        <w:spacing w:after="80"/>
      </w:pPr>
      <w:r>
        <w:rPr>
          <w:rFonts w:ascii="Arial" w:cs="Arial" w:eastAsia="Arial" w:hAnsi="Arial"/>
          <w:sz w:val="22"/>
          <w:szCs w:val="22"/>
        </w:rPr>
        <w:t xml:space="preserve">Notes: Free text. Community-specific context.</w:t>
      </w:r>
    </w:p>
    <w:p>
      <w:pPr>
        <w:pStyle w:val="Heading2"/>
      </w:pPr>
      <w:r>
        <w:t xml:space="preserve">4.3 Status Values</w:t>
      </w:r>
    </w:p>
    <w:p>
      <w:pPr>
        <w:spacing w:after="80"/>
      </w:pPr>
      <w:r>
        <w:rPr>
          <w:rFonts w:ascii="Arial" w:cs="Arial" w:eastAsia="Arial" w:hAnsi="Arial"/>
          <w:b/>
          <w:bCs/>
          <w:color w:val="1C3557"/>
          <w:sz w:val="22"/>
          <w:szCs w:val="22"/>
        </w:rPr>
        <w:t xml:space="preserve">Active: </w:t>
      </w:r>
      <w:r>
        <w:rPr>
          <w:rFonts w:ascii="Arial" w:cs="Arial" w:eastAsia="Arial" w:hAnsi="Arial"/>
          <w:sz w:val="22"/>
          <w:szCs w:val="22"/>
        </w:rPr>
        <w:t xml:space="preserve">Agreement made. Commitment not yet fulfilled.</w:t>
      </w:r>
    </w:p>
    <w:p>
      <w:pPr>
        <w:spacing w:after="80"/>
      </w:pPr>
      <w:r>
        <w:rPr>
          <w:rFonts w:ascii="Arial" w:cs="Arial" w:eastAsia="Arial" w:hAnsi="Arial"/>
          <w:b/>
          <w:bCs/>
          <w:color w:val="1C3557"/>
          <w:sz w:val="22"/>
          <w:szCs w:val="22"/>
        </w:rPr>
        <w:t xml:space="preserve">Completed: </w:t>
      </w:r>
      <w:r>
        <w:rPr>
          <w:rFonts w:ascii="Arial" w:cs="Arial" w:eastAsia="Arial" w:hAnsi="Arial"/>
          <w:sz w:val="22"/>
          <w:szCs w:val="22"/>
        </w:rPr>
        <w:t xml:space="preserve">Both parties have fulfilled their commitments. Witnesses confirm.</w:t>
      </w:r>
    </w:p>
    <w:p>
      <w:pPr>
        <w:spacing w:after="80"/>
      </w:pPr>
      <w:r>
        <w:rPr>
          <w:rFonts w:ascii="Arial" w:cs="Arial" w:eastAsia="Arial" w:hAnsi="Arial"/>
          <w:b/>
          <w:bCs/>
          <w:color w:val="1C3557"/>
          <w:sz w:val="22"/>
          <w:szCs w:val="22"/>
        </w:rPr>
        <w:t xml:space="preserve">Unresolved: </w:t>
      </w:r>
      <w:r>
        <w:rPr>
          <w:rFonts w:ascii="Arial" w:cs="Arial" w:eastAsia="Arial" w:hAnsi="Arial"/>
          <w:sz w:val="22"/>
          <w:szCs w:val="22"/>
        </w:rPr>
        <w:t xml:space="preserve">Record expired without completion. Community is aware.</w:t>
      </w:r>
    </w:p>
    <w:p>
      <w:pPr>
        <w:spacing w:after="80"/>
      </w:pPr>
      <w:r>
        <w:rPr>
          <w:rFonts w:ascii="Arial" w:cs="Arial" w:eastAsia="Arial" w:hAnsi="Arial"/>
          <w:b/>
          <w:bCs/>
          <w:color w:val="1C3557"/>
          <w:sz w:val="22"/>
          <w:szCs w:val="22"/>
        </w:rPr>
        <w:t xml:space="preserve">Abandoned: </w:t>
      </w:r>
      <w:r>
        <w:rPr>
          <w:rFonts w:ascii="Arial" w:cs="Arial" w:eastAsia="Arial" w:hAnsi="Arial"/>
          <w:sz w:val="22"/>
          <w:szCs w:val="22"/>
        </w:rPr>
        <w:t xml:space="preserve">Both parties mutually cancelled before expiry.</w:t>
      </w:r>
    </w:p>
    <w:p>
      <w:pPr>
        <w:spacing w:after="80"/>
      </w:pPr>
      <w:r>
        <w:t xml:space="preserve"/>
      </w:r>
    </w:p>
    <w:p>
      <w:pPr>
        <w:spacing w:after="120"/>
      </w:pPr>
      <w:r>
        <w:rPr>
          <w:rFonts w:ascii="Arial" w:cs="Arial" w:eastAsia="Arial" w:hAnsi="Arial"/>
          <w:sz w:val="22"/>
          <w:szCs w:val="22"/>
        </w:rPr>
        <w:t xml:space="preserve">Only Completed and Abandoned require both parties to agree. Unresolved can be recorded by witnesses alone if a party is absent or unresponsive.</w:t>
      </w:r>
    </w:p>
    <w:p>
      <w:pPr>
        <w:pStyle w:val="Heading2"/>
      </w:pPr>
      <w:r>
        <w:t xml:space="preserve">4.4 Record ID Format</w:t>
      </w:r>
    </w:p>
    <w:p>
      <w:pPr>
        <w:spacing w:after="120"/>
      </w:pPr>
      <w:r>
        <w:rPr>
          <w:rFonts w:ascii="Arial" w:cs="Arial" w:eastAsia="Arial" w:hAnsi="Arial"/>
          <w:sz w:val="22"/>
          <w:szCs w:val="22"/>
        </w:rPr>
        <w:t xml:space="preserve">The prefix should be a 3-5 character code identifying the village or community. Communities assign their own prefix; no central registry exists.</w:t>
      </w:r>
    </w:p>
    <w:p>
      <w:pPr>
        <w:spacing w:after="80"/>
        <w:ind w:left="720"/>
      </w:pPr>
      <w:r>
        <w:rPr>
          <w:rFonts w:ascii="Courier New" w:cs="Courier New" w:eastAsia="Courier New" w:hAnsi="Courier New"/>
          <w:color w:val="333333"/>
          <w:sz w:val="20"/>
          <w:szCs w:val="20"/>
        </w:rPr>
        <w:t xml:space="preserve">Format:    [PREFIX]-[YYYY]-[NNN]</w:t>
      </w:r>
    </w:p>
    <w:p>
      <w:pPr>
        <w:spacing w:after="80"/>
        <w:ind w:left="720"/>
      </w:pPr>
      <w:r>
        <w:rPr>
          <w:rFonts w:ascii="Courier New" w:cs="Courier New" w:eastAsia="Courier New" w:hAnsi="Courier New"/>
          <w:color w:val="333333"/>
          <w:sz w:val="20"/>
          <w:szCs w:val="20"/>
        </w:rPr>
        <w:t xml:space="preserve">Example:   NPL-2024-017</w:t>
      </w:r>
    </w:p>
    <w:p>
      <w:pPr>
        <w:spacing w:after="80"/>
        <w:ind w:left="720"/>
      </w:pPr>
      <w:r>
        <w:rPr>
          <w:rFonts w:ascii="Courier New" w:cs="Courier New" w:eastAsia="Courier New" w:hAnsi="Courier New"/>
          <w:color w:val="333333"/>
          <w:sz w:val="20"/>
          <w:szCs w:val="20"/>
        </w:rPr>
        <w:t xml:space="preserve">Example:   KAV-2024-003</w:t>
      </w:r>
    </w:p>
    <w:p>
      <w:pPr>
        <w:spacing w:after="80"/>
        <w:ind w:left="720"/>
      </w:pPr>
      <w:r>
        <w:rPr>
          <w:rFonts w:ascii="Courier New" w:cs="Courier New" w:eastAsia="Courier New" w:hAnsi="Courier New"/>
          <w:color w:val="333333"/>
          <w:sz w:val="20"/>
          <w:szCs w:val="20"/>
        </w:rPr>
        <w:t xml:space="preserve">Example:   NKULU-2024-017</w:t>
      </w:r>
    </w:p>
    <w:p>
      <w:pPr>
        <w:pBdr>
          <w:bottom w:val="single" w:color="CCCCCC" w:sz="2" w:space="1"/>
        </w:pBdr>
        <w:spacing w:before="160" w:after="160"/>
      </w:pPr>
      <w:r>
        <w:t xml:space="preserve"/>
      </w:r>
    </w:p>
    <w:p>
      <w:pPr>
        <w:pStyle w:val="Heading1"/>
      </w:pPr>
      <w:r>
        <w:t xml:space="preserve">5. Physical Card Specification</w:t>
      </w:r>
    </w:p>
    <w:p>
      <w:pPr>
        <w:pStyle w:val="Heading2"/>
      </w:pPr>
      <w:r>
        <w:t xml:space="preserve">5.1 Purpose</w:t>
      </w:r>
    </w:p>
    <w:p>
      <w:pPr>
        <w:spacing w:after="120"/>
      </w:pPr>
      <w:r>
        <w:rPr>
          <w:rFonts w:ascii="Arial" w:cs="Arial" w:eastAsia="Arial" w:hAnsi="Arial"/>
          <w:sz w:val="22"/>
          <w:szCs w:val="22"/>
        </w:rPr>
        <w:t xml:space="preserve">The physical card is the primary artifact of REP. The digital record is a secondary reference. In communities without reliable digital infrastructure, the physical card is the only record.</w:t>
      </w:r>
    </w:p>
    <w:p>
      <w:pPr>
        <w:pStyle w:val="Heading2"/>
      </w:pPr>
      <w:r>
        <w:t xml:space="preserve">5.2 Dimensions and Material</w:t>
      </w:r>
    </w:p>
    <w:p>
      <w:pPr>
        <w:pStyle w:val="ListParagraph"/>
        <w:numPr>
          <w:ilvl w:val="0"/>
          <w:numId w:val="2"/>
        </w:numPr>
        <w:spacing w:after="80"/>
      </w:pPr>
      <w:r>
        <w:rPr>
          <w:rFonts w:ascii="Arial" w:cs="Arial" w:eastAsia="Arial" w:hAnsi="Arial"/>
          <w:sz w:val="22"/>
          <w:szCs w:val="22"/>
        </w:rPr>
        <w:t xml:space="preserve">Size: Standard ID card (85.6mm × 54mm) or larger index card format.</w:t>
      </w:r>
    </w:p>
    <w:p>
      <w:pPr>
        <w:pStyle w:val="ListParagraph"/>
        <w:numPr>
          <w:ilvl w:val="0"/>
          <w:numId w:val="2"/>
        </w:numPr>
        <w:spacing w:after="80"/>
      </w:pPr>
      <w:r>
        <w:rPr>
          <w:rFonts w:ascii="Arial" w:cs="Arial" w:eastAsia="Arial" w:hAnsi="Arial"/>
          <w:sz w:val="22"/>
          <w:szCs w:val="22"/>
        </w:rPr>
        <w:t xml:space="preserve">Material: Security paper with UV-reactive fibres preferred. Lokta paper (Nepal), locally sourced card stock (Namibia), or equivalent regional materials accepted.</w:t>
      </w:r>
    </w:p>
    <w:p>
      <w:pPr>
        <w:pStyle w:val="ListParagraph"/>
        <w:numPr>
          <w:ilvl w:val="0"/>
          <w:numId w:val="2"/>
        </w:numPr>
        <w:spacing w:after="80"/>
      </w:pPr>
      <w:r>
        <w:rPr>
          <w:rFonts w:ascii="Arial" w:cs="Arial" w:eastAsia="Arial" w:hAnsi="Arial"/>
          <w:sz w:val="22"/>
          <w:szCs w:val="22"/>
        </w:rPr>
        <w:t xml:space="preserve">Colour: Cream or natural tone preferred for legibility and to evoke document permanence.</w:t>
      </w:r>
    </w:p>
    <w:p>
      <w:pPr>
        <w:pStyle w:val="Heading2"/>
      </w:pPr>
      <w:r>
        <w:t xml:space="preserve">5.3 Required Visual Elements</w:t>
      </w:r>
    </w:p>
    <w:p>
      <w:pPr>
        <w:pStyle w:val="ListParagraph"/>
        <w:numPr>
          <w:ilvl w:val="0"/>
          <w:numId w:val="2"/>
        </w:numPr>
        <w:spacing w:after="80"/>
      </w:pPr>
      <w:r>
        <w:rPr>
          <w:rFonts w:ascii="Arial" w:cs="Arial" w:eastAsia="Arial" w:hAnsi="Arial"/>
          <w:sz w:val="22"/>
          <w:szCs w:val="22"/>
        </w:rPr>
        <w:t xml:space="preserve">Header: "REP EVENT RECORD" in prominent type.</w:t>
      </w:r>
    </w:p>
    <w:p>
      <w:pPr>
        <w:pStyle w:val="ListParagraph"/>
        <w:numPr>
          <w:ilvl w:val="0"/>
          <w:numId w:val="2"/>
        </w:numPr>
        <w:spacing w:after="80"/>
      </w:pPr>
      <w:r>
        <w:rPr>
          <w:rFonts w:ascii="Arial" w:cs="Arial" w:eastAsia="Arial" w:hAnsi="Arial"/>
          <w:sz w:val="22"/>
          <w:szCs w:val="22"/>
        </w:rPr>
        <w:t xml:space="preserve">Record ID: Top right.</w:t>
      </w:r>
    </w:p>
    <w:p>
      <w:pPr>
        <w:pStyle w:val="ListParagraph"/>
        <w:numPr>
          <w:ilvl w:val="0"/>
          <w:numId w:val="2"/>
        </w:numPr>
        <w:spacing w:after="80"/>
      </w:pPr>
      <w:r>
        <w:rPr>
          <w:rFonts w:ascii="Arial" w:cs="Arial" w:eastAsia="Arial" w:hAnsi="Arial"/>
          <w:sz w:val="22"/>
          <w:szCs w:val="22"/>
        </w:rPr>
        <w:t xml:space="preserve">Created Date and Expires Date: Clearly visible.</w:t>
      </w:r>
    </w:p>
    <w:p>
      <w:pPr>
        <w:pStyle w:val="ListParagraph"/>
        <w:numPr>
          <w:ilvl w:val="0"/>
          <w:numId w:val="2"/>
        </w:numPr>
        <w:spacing w:after="80"/>
      </w:pPr>
      <w:r>
        <w:rPr>
          <w:rFonts w:ascii="Arial" w:cs="Arial" w:eastAsia="Arial" w:hAnsi="Arial"/>
          <w:sz w:val="22"/>
          <w:szCs w:val="22"/>
        </w:rPr>
        <w:t xml:space="preserve">OFFER box: With illustrative motif and plain-text description field.</w:t>
      </w:r>
    </w:p>
    <w:p>
      <w:pPr>
        <w:pStyle w:val="ListParagraph"/>
        <w:numPr>
          <w:ilvl w:val="0"/>
          <w:numId w:val="2"/>
        </w:numPr>
        <w:spacing w:after="80"/>
      </w:pPr>
      <w:r>
        <w:rPr>
          <w:rFonts w:ascii="Arial" w:cs="Arial" w:eastAsia="Arial" w:hAnsi="Arial"/>
          <w:sz w:val="22"/>
          <w:szCs w:val="22"/>
        </w:rPr>
        <w:t xml:space="preserve">REQUEST box: With illustrative motif and plain-text description field.</w:t>
      </w:r>
    </w:p>
    <w:p>
      <w:pPr>
        <w:pStyle w:val="ListParagraph"/>
        <w:numPr>
          <w:ilvl w:val="0"/>
          <w:numId w:val="2"/>
        </w:numPr>
        <w:spacing w:after="80"/>
      </w:pPr>
      <w:r>
        <w:rPr>
          <w:rFonts w:ascii="Arial" w:cs="Arial" w:eastAsia="Arial" w:hAnsi="Arial"/>
          <w:sz w:val="22"/>
          <w:szCs w:val="22"/>
        </w:rPr>
        <w:t xml:space="preserve">Participant A signature/thumbprint area.</w:t>
      </w:r>
    </w:p>
    <w:p>
      <w:pPr>
        <w:pStyle w:val="ListParagraph"/>
        <w:numPr>
          <w:ilvl w:val="0"/>
          <w:numId w:val="2"/>
        </w:numPr>
        <w:spacing w:after="80"/>
      </w:pPr>
      <w:r>
        <w:rPr>
          <w:rFonts w:ascii="Arial" w:cs="Arial" w:eastAsia="Arial" w:hAnsi="Arial"/>
          <w:sz w:val="22"/>
          <w:szCs w:val="22"/>
        </w:rPr>
        <w:t xml:space="preserve">Participant B signature/thumbprint area.</w:t>
      </w:r>
    </w:p>
    <w:p>
      <w:pPr>
        <w:pStyle w:val="ListParagraph"/>
        <w:numPr>
          <w:ilvl w:val="0"/>
          <w:numId w:val="2"/>
        </w:numPr>
        <w:spacing w:after="80"/>
      </w:pPr>
      <w:r>
        <w:rPr>
          <w:rFonts w:ascii="Arial" w:cs="Arial" w:eastAsia="Arial" w:hAnsi="Arial"/>
          <w:sz w:val="22"/>
          <w:szCs w:val="22"/>
        </w:rPr>
        <w:t xml:space="preserve">Witness 1 and Witness 2 signature/thumbprint areas with note: "minimum 2 required".</w:t>
      </w:r>
    </w:p>
    <w:p>
      <w:pPr>
        <w:pStyle w:val="ListParagraph"/>
        <w:numPr>
          <w:ilvl w:val="0"/>
          <w:numId w:val="2"/>
        </w:numPr>
        <w:spacing w:after="80"/>
      </w:pPr>
      <w:r>
        <w:rPr>
          <w:rFonts w:ascii="Arial" w:cs="Arial" w:eastAsia="Arial" w:hAnsi="Arial"/>
          <w:sz w:val="22"/>
          <w:szCs w:val="22"/>
        </w:rPr>
        <w:t xml:space="preserve">Status checkboxes: Active, Completed, Unresolved, Abandoned.</w:t>
      </w:r>
    </w:p>
    <w:p>
      <w:pPr>
        <w:pStyle w:val="ListParagraph"/>
        <w:numPr>
          <w:ilvl w:val="0"/>
          <w:numId w:val="2"/>
        </w:numPr>
        <w:spacing w:after="80"/>
      </w:pPr>
      <w:r>
        <w:rPr>
          <w:rFonts w:ascii="Arial" w:cs="Arial" w:eastAsia="Arial" w:hAnsi="Arial"/>
          <w:sz w:val="22"/>
          <w:szCs w:val="22"/>
        </w:rPr>
        <w:t xml:space="preserve">Waiver section.</w:t>
      </w:r>
    </w:p>
    <w:p>
      <w:pPr>
        <w:pStyle w:val="ListParagraph"/>
        <w:numPr>
          <w:ilvl w:val="0"/>
          <w:numId w:val="2"/>
        </w:numPr>
        <w:spacing w:after="80"/>
      </w:pPr>
      <w:r>
        <w:rPr>
          <w:rFonts w:ascii="Arial" w:cs="Arial" w:eastAsia="Arial" w:hAnsi="Arial"/>
          <w:sz w:val="22"/>
          <w:szCs w:val="22"/>
        </w:rPr>
        <w:t xml:space="preserve">Security feature indicators: UV, Thread, VOID.</w:t>
      </w:r>
    </w:p>
    <w:p>
      <w:pPr>
        <w:pStyle w:val="Heading2"/>
      </w:pPr>
      <w:r>
        <w:t xml:space="preserve">5.4 Village Motif (Watermark)</w:t>
      </w:r>
    </w:p>
    <w:p>
      <w:pPr>
        <w:spacing w:after="120"/>
      </w:pPr>
      <w:r>
        <w:rPr>
          <w:rFonts w:ascii="Arial" w:cs="Arial" w:eastAsia="Arial" w:hAnsi="Arial"/>
          <w:sz w:val="22"/>
          <w:szCs w:val="22"/>
        </w:rPr>
        <w:t xml:space="preserve">Each community fork of REP should incorporate a locally meaningful motif as a watermark or embossed element. This serves both as a security feature and as a declaration of local ownership of the fork.</w:t>
      </w:r>
    </w:p>
    <w:p>
      <w:pPr>
        <w:pStyle w:val="ListParagraph"/>
        <w:numPr>
          <w:ilvl w:val="0"/>
          <w:numId w:val="2"/>
        </w:numPr>
        <w:spacing w:after="80"/>
      </w:pPr>
      <w:r>
        <w:rPr>
          <w:rFonts w:ascii="Arial" w:cs="Arial" w:eastAsia="Arial" w:hAnsi="Arial"/>
          <w:sz w:val="22"/>
          <w:szCs w:val="22"/>
        </w:rPr>
        <w:t xml:space="preserve">Nepal pilot: Dhaka textile weave motif.</w:t>
      </w:r>
    </w:p>
    <w:p>
      <w:pPr>
        <w:pStyle w:val="ListParagraph"/>
        <w:numPr>
          <w:ilvl w:val="0"/>
          <w:numId w:val="2"/>
        </w:numPr>
        <w:spacing w:after="80"/>
      </w:pPr>
      <w:r>
        <w:rPr>
          <w:rFonts w:ascii="Arial" w:cs="Arial" w:eastAsia="Arial" w:hAnsi="Arial"/>
          <w:sz w:val="22"/>
          <w:szCs w:val="22"/>
        </w:rPr>
        <w:t xml:space="preserve">Namibia pilot: Kambasheti basket weave motif.</w:t>
      </w:r>
    </w:p>
    <w:p>
      <w:pPr>
        <w:spacing w:after="120"/>
      </w:pPr>
      <w:r>
        <w:rPr>
          <w:rFonts w:ascii="Arial" w:cs="Arial" w:eastAsia="Arial" w:hAnsi="Arial"/>
          <w:sz w:val="22"/>
          <w:szCs w:val="22"/>
        </w:rPr>
        <w:t xml:space="preserve">Motif design is the community’s own. No central design authority exists.</w:t>
      </w:r>
    </w:p>
    <w:p>
      <w:pPr>
        <w:pBdr>
          <w:bottom w:val="single" w:color="CCCCCC" w:sz="2" w:space="1"/>
        </w:pBdr>
        <w:spacing w:before="160" w:after="160"/>
      </w:pPr>
      <w:r>
        <w:t xml:space="preserve"/>
      </w:r>
    </w:p>
    <w:p>
      <w:pPr>
        <w:pStyle w:val="Heading1"/>
      </w:pPr>
      <w:r>
        <w:t xml:space="preserve">6. Witnessing Protocol</w:t>
      </w:r>
    </w:p>
    <w:p>
      <w:pPr>
        <w:pStyle w:val="Heading2"/>
      </w:pPr>
      <w:r>
        <w:t xml:space="preserve">6.1 Who May Witness</w:t>
      </w:r>
    </w:p>
    <w:p>
      <w:pPr>
        <w:spacing w:after="120"/>
      </w:pPr>
      <w:r>
        <w:rPr>
          <w:rFonts w:ascii="Arial" w:cs="Arial" w:eastAsia="Arial" w:hAnsi="Arial"/>
          <w:sz w:val="22"/>
          <w:szCs w:val="22"/>
        </w:rPr>
        <w:t xml:space="preserve">Any community member who is not a party to the agreement may serve as a witness. Witnesses must be physically present when both parties agree. There is no qualification, certification, or appointment required to be a witness under REP.</w:t>
      </w:r>
    </w:p>
    <w:p>
      <w:pPr>
        <w:pStyle w:val="Heading2"/>
      </w:pPr>
      <w:r>
        <w:t xml:space="preserve">6.2 Witness Responsibilities</w:t>
      </w:r>
    </w:p>
    <w:p>
      <w:pPr>
        <w:pStyle w:val="ListParagraph"/>
        <w:numPr>
          <w:ilvl w:val="0"/>
          <w:numId w:val="2"/>
        </w:numPr>
        <w:spacing w:after="80"/>
      </w:pPr>
      <w:r>
        <w:rPr>
          <w:rFonts w:ascii="Arial" w:cs="Arial" w:eastAsia="Arial" w:hAnsi="Arial"/>
          <w:sz w:val="22"/>
          <w:szCs w:val="22"/>
        </w:rPr>
        <w:t xml:space="preserve">Confirm both parties understood the Offer and Request at time of agreement.</w:t>
      </w:r>
    </w:p>
    <w:p>
      <w:pPr>
        <w:pStyle w:val="ListParagraph"/>
        <w:numPr>
          <w:ilvl w:val="0"/>
          <w:numId w:val="2"/>
        </w:numPr>
        <w:spacing w:after="80"/>
      </w:pPr>
      <w:r>
        <w:rPr>
          <w:rFonts w:ascii="Arial" w:cs="Arial" w:eastAsia="Arial" w:hAnsi="Arial"/>
          <w:sz w:val="22"/>
          <w:szCs w:val="22"/>
        </w:rPr>
        <w:t xml:space="preserve">Sign or thumbprint the physical card.</w:t>
      </w:r>
    </w:p>
    <w:p>
      <w:pPr>
        <w:pStyle w:val="ListParagraph"/>
        <w:numPr>
          <w:ilvl w:val="0"/>
          <w:numId w:val="2"/>
        </w:numPr>
        <w:spacing w:after="80"/>
      </w:pPr>
      <w:r>
        <w:rPr>
          <w:rFonts w:ascii="Arial" w:cs="Arial" w:eastAsia="Arial" w:hAnsi="Arial"/>
          <w:sz w:val="22"/>
          <w:szCs w:val="22"/>
        </w:rPr>
        <w:t xml:space="preserve">Be available to confirm the record if questioned by the community.</w:t>
      </w:r>
    </w:p>
    <w:p>
      <w:pPr>
        <w:pStyle w:val="ListParagraph"/>
        <w:numPr>
          <w:ilvl w:val="0"/>
          <w:numId w:val="2"/>
        </w:numPr>
        <w:spacing w:after="80"/>
      </w:pPr>
      <w:r>
        <w:rPr>
          <w:rFonts w:ascii="Arial" w:cs="Arial" w:eastAsia="Arial" w:hAnsi="Arial"/>
          <w:sz w:val="22"/>
          <w:szCs w:val="22"/>
        </w:rPr>
        <w:t xml:space="preserve">Update the status field when a commitment is completed or resolved.</w:t>
      </w:r>
    </w:p>
    <w:p>
      <w:pPr>
        <w:pStyle w:val="Heading2"/>
      </w:pPr>
      <w:r>
        <w:t xml:space="preserve">6.3 Disputed Records</w:t>
      </w:r>
    </w:p>
    <w:p>
      <w:pPr>
        <w:spacing w:after="120"/>
      </w:pPr>
      <w:r>
        <w:rPr>
          <w:rFonts w:ascii="Arial" w:cs="Arial" w:eastAsia="Arial" w:hAnsi="Arial"/>
          <w:sz w:val="22"/>
          <w:szCs w:val="22"/>
        </w:rPr>
        <w:t xml:space="preserve">REP has no dispute resolution mechanism. Disputes are resolved through existing community social processes. The REP record is evidence, not judgement. The community’s existing authority structures — elders, leaders, councils — remain the arbiters of disputes.</w:t>
      </w:r>
    </w:p>
    <w:p>
      <w:pPr>
        <w:pBdr>
          <w:bottom w:val="single" w:color="CCCCCC" w:sz="2" w:space="1"/>
        </w:pBdr>
        <w:spacing w:before="160" w:after="160"/>
      </w:pPr>
      <w:r>
        <w:t xml:space="preserve"/>
      </w:r>
    </w:p>
    <w:p>
      <w:pPr>
        <w:pStyle w:val="Heading1"/>
      </w:pPr>
      <w:r>
        <w:t xml:space="preserve">7. Boundaries: What REP Cannot Become</w:t>
      </w:r>
    </w:p>
    <w:p>
      <w:pPr>
        <w:spacing w:after="120"/>
      </w:pPr>
      <w:r>
        <w:rPr>
          <w:rFonts w:ascii="Arial" w:cs="Arial" w:eastAsia="Arial" w:hAnsi="Arial"/>
          <w:sz w:val="22"/>
          <w:szCs w:val="22"/>
        </w:rPr>
        <w:t xml:space="preserve">These boundaries are design constraints, not legal restrictions. They are included because the history of coordination protocols shows that useful tools tend to be absorbed and transformed into the systems they were designed to complement or replace.</w:t>
      </w:r>
    </w:p>
    <w:p>
      <w:pPr>
        <w:pStyle w:val="Heading2"/>
      </w:pPr>
      <w:r>
        <w:t xml:space="preserve">7.1 REP Cannot Be Owned</w:t>
      </w:r>
    </w:p>
    <w:p>
      <w:pPr>
        <w:spacing w:after="120"/>
      </w:pPr>
      <w:r>
        <w:rPr>
          <w:rFonts w:ascii="Arial" w:cs="Arial" w:eastAsia="Arial" w:hAnsi="Arial"/>
          <w:sz w:val="22"/>
          <w:szCs w:val="22"/>
        </w:rPr>
        <w:t xml:space="preserve">No individual, organization, government, or platform may claim ownership of REP. No license may be attached to REP that restricts forking, adaptation, or redistribution. Any version of REP that claims to be the official or only version is a violation of this specification.</w:t>
      </w:r>
    </w:p>
    <w:p>
      <w:pPr>
        <w:pStyle w:val="Heading2"/>
      </w:pPr>
      <w:r>
        <w:t xml:space="preserve">7.2 REP Cannot Be Automated</w:t>
      </w:r>
    </w:p>
    <w:p>
      <w:pPr>
        <w:spacing w:after="120"/>
      </w:pPr>
      <w:r>
        <w:rPr>
          <w:rFonts w:ascii="Arial" w:cs="Arial" w:eastAsia="Arial" w:hAnsi="Arial"/>
          <w:sz w:val="22"/>
          <w:szCs w:val="22"/>
        </w:rPr>
        <w:t xml:space="preserve">REP records may be stored in digital systems for reference. REP records may not trigger automated workflows, smart contracts, or enforcement mechanisms. The human bridging between the REP record and any operational action is mandatory, not optional.</w:t>
      </w:r>
    </w:p>
    <w:p>
      <w:pPr>
        <w:pStyle w:val="Heading2"/>
      </w:pPr>
      <w:r>
        <w:t xml:space="preserve">7.3 REP Cannot Scale</w:t>
      </w:r>
    </w:p>
    <w:p>
      <w:pPr>
        <w:spacing w:after="120"/>
      </w:pPr>
      <w:r>
        <w:rPr>
          <w:rFonts w:ascii="Arial" w:cs="Arial" w:eastAsia="Arial" w:hAnsi="Arial"/>
          <w:sz w:val="22"/>
          <w:szCs w:val="22"/>
        </w:rPr>
        <w:t xml:space="preserve">REP is not designed to grow. A community that outgrows the 15-150 social density range should fork REP into smaller local instances, not attempt to extend a single REP network. Scaling REP destroys the social memory mechanism that makes it function.</w:t>
      </w:r>
    </w:p>
    <w:p>
      <w:pPr>
        <w:pStyle w:val="Heading2"/>
      </w:pPr>
      <w:r>
        <w:t xml:space="preserve">7.4 REP Cannot Be Monetised Directly</w:t>
      </w:r>
    </w:p>
    <w:p>
      <w:pPr>
        <w:spacing w:after="120"/>
      </w:pPr>
      <w:r>
        <w:rPr>
          <w:rFonts w:ascii="Arial" w:cs="Arial" w:eastAsia="Arial" w:hAnsi="Arial"/>
          <w:sz w:val="22"/>
          <w:szCs w:val="22"/>
        </w:rPr>
        <w:t xml:space="preserve">No fee may be charged for creating, registering, or validating a REP record. Infrastructure costs (card printing, paper) may be covered by community funds. No party may profit from the protocol itself.</w:t>
      </w:r>
    </w:p>
    <w:p>
      <w:pPr>
        <w:pBdr>
          <w:bottom w:val="single" w:color="CCCCCC" w:sz="2" w:space="1"/>
        </w:pBdr>
        <w:spacing w:before="160" w:after="160"/>
      </w:pPr>
      <w:r>
        <w:t xml:space="preserve"/>
      </w:r>
    </w:p>
    <w:p>
      <w:pPr>
        <w:pStyle w:val="Heading1"/>
      </w:pPr>
      <w:r>
        <w:t xml:space="preserve">8. Pilot Deployment Notes</w:t>
      </w:r>
    </w:p>
    <w:p>
      <w:pPr>
        <w:pStyle w:val="Heading2"/>
      </w:pPr>
      <w:r>
        <w:t xml:space="preserve">8.1 Nepal — Gandaki Province</w:t>
      </w:r>
    </w:p>
    <w:p>
      <w:pPr>
        <w:pStyle w:val="ListParagraph"/>
        <w:numPr>
          <w:ilvl w:val="0"/>
          <w:numId w:val="2"/>
        </w:numPr>
        <w:spacing w:after="80"/>
      </w:pPr>
      <w:r>
        <w:rPr>
          <w:rFonts w:ascii="Arial" w:cs="Arial" w:eastAsia="Arial" w:hAnsi="Arial"/>
          <w:sz w:val="22"/>
          <w:szCs w:val="22"/>
        </w:rPr>
        <w:t xml:space="preserve">Entry point: Communities with existing Parma labor exchange traditions.</w:t>
      </w:r>
    </w:p>
    <w:p>
      <w:pPr>
        <w:pStyle w:val="ListParagraph"/>
        <w:numPr>
          <w:ilvl w:val="0"/>
          <w:numId w:val="2"/>
        </w:numPr>
        <w:spacing w:after="80"/>
      </w:pPr>
      <w:r>
        <w:rPr>
          <w:rFonts w:ascii="Arial" w:cs="Arial" w:eastAsia="Arial" w:hAnsi="Arial"/>
          <w:sz w:val="22"/>
          <w:szCs w:val="22"/>
        </w:rPr>
        <w:t xml:space="preserve">Language: Bilingual cards (Nepali / English).</w:t>
      </w:r>
    </w:p>
    <w:p>
      <w:pPr>
        <w:pStyle w:val="ListParagraph"/>
        <w:numPr>
          <w:ilvl w:val="0"/>
          <w:numId w:val="2"/>
        </w:numPr>
        <w:spacing w:after="80"/>
      </w:pPr>
      <w:r>
        <w:rPr>
          <w:rFonts w:ascii="Arial" w:cs="Arial" w:eastAsia="Arial" w:hAnsi="Arial"/>
          <w:sz w:val="22"/>
          <w:szCs w:val="22"/>
        </w:rPr>
        <w:t xml:space="preserve">Motif: Dhaka textile weave watermark.</w:t>
      </w:r>
    </w:p>
    <w:p>
      <w:pPr>
        <w:pStyle w:val="ListParagraph"/>
        <w:numPr>
          <w:ilvl w:val="0"/>
          <w:numId w:val="2"/>
        </w:numPr>
        <w:spacing w:after="80"/>
      </w:pPr>
      <w:r>
        <w:rPr>
          <w:rFonts w:ascii="Arial" w:cs="Arial" w:eastAsia="Arial" w:hAnsi="Arial"/>
          <w:sz w:val="22"/>
          <w:szCs w:val="22"/>
        </w:rPr>
        <w:t xml:space="preserve">Card material: Lokta paper where available.</w:t>
      </w:r>
    </w:p>
    <w:p>
      <w:pPr>
        <w:pStyle w:val="ListParagraph"/>
        <w:numPr>
          <w:ilvl w:val="0"/>
          <w:numId w:val="2"/>
        </w:numPr>
        <w:spacing w:after="80"/>
      </w:pPr>
      <w:r>
        <w:rPr>
          <w:rFonts w:ascii="Arial" w:cs="Arial" w:eastAsia="Arial" w:hAnsi="Arial"/>
          <w:sz w:val="22"/>
          <w:szCs w:val="22"/>
        </w:rPr>
        <w:t xml:space="preserve">ID prefix: NPL- (or village-specific prefix of community’s choosing).</w:t>
      </w:r>
    </w:p>
    <w:p>
      <w:pPr>
        <w:pStyle w:val="ListParagraph"/>
        <w:numPr>
          <w:ilvl w:val="0"/>
          <w:numId w:val="2"/>
        </w:numPr>
        <w:spacing w:after="80"/>
      </w:pPr>
      <w:r>
        <w:rPr>
          <w:rFonts w:ascii="Arial" w:cs="Arial" w:eastAsia="Arial" w:hAnsi="Arial"/>
          <w:sz w:val="22"/>
          <w:szCs w:val="22"/>
        </w:rPr>
        <w:t xml:space="preserve">Field contact approach: Village elders and Mukhiya who currently mediate Parma obligations.</w:t>
      </w:r>
    </w:p>
    <w:p>
      <w:pPr>
        <w:pStyle w:val="Heading2"/>
      </w:pPr>
      <w:r>
        <w:t xml:space="preserve">8.2 Namibia — Kavango and Zambezi Regions</w:t>
      </w:r>
    </w:p>
    <w:p>
      <w:pPr>
        <w:pStyle w:val="ListParagraph"/>
        <w:numPr>
          <w:ilvl w:val="0"/>
          <w:numId w:val="2"/>
        </w:numPr>
        <w:spacing w:after="80"/>
      </w:pPr>
      <w:r>
        <w:rPr>
          <w:rFonts w:ascii="Arial" w:cs="Arial" w:eastAsia="Arial" w:hAnsi="Arial"/>
          <w:sz w:val="22"/>
          <w:szCs w:val="22"/>
        </w:rPr>
        <w:t xml:space="preserve">Entry point: Communities with existing Ilima communal labor traditions.</w:t>
      </w:r>
    </w:p>
    <w:p>
      <w:pPr>
        <w:pStyle w:val="ListParagraph"/>
        <w:numPr>
          <w:ilvl w:val="0"/>
          <w:numId w:val="2"/>
        </w:numPr>
        <w:spacing w:after="80"/>
      </w:pPr>
      <w:r>
        <w:rPr>
          <w:rFonts w:ascii="Arial" w:cs="Arial" w:eastAsia="Arial" w:hAnsi="Arial"/>
          <w:sz w:val="22"/>
          <w:szCs w:val="22"/>
        </w:rPr>
        <w:t xml:space="preserve">Language: Bilingual cards (Silozi / English).</w:t>
      </w:r>
    </w:p>
    <w:p>
      <w:pPr>
        <w:pStyle w:val="ListParagraph"/>
        <w:numPr>
          <w:ilvl w:val="0"/>
          <w:numId w:val="2"/>
        </w:numPr>
        <w:spacing w:after="80"/>
      </w:pPr>
      <w:r>
        <w:rPr>
          <w:rFonts w:ascii="Arial" w:cs="Arial" w:eastAsia="Arial" w:hAnsi="Arial"/>
          <w:sz w:val="22"/>
          <w:szCs w:val="22"/>
        </w:rPr>
        <w:t xml:space="preserve">Motif: Kambasheti basket weave watermark.</w:t>
      </w:r>
    </w:p>
    <w:p>
      <w:pPr>
        <w:pStyle w:val="ListParagraph"/>
        <w:numPr>
          <w:ilvl w:val="0"/>
          <w:numId w:val="2"/>
        </w:numPr>
        <w:spacing w:after="80"/>
      </w:pPr>
      <w:r>
        <w:rPr>
          <w:rFonts w:ascii="Arial" w:cs="Arial" w:eastAsia="Arial" w:hAnsi="Arial"/>
          <w:sz w:val="22"/>
          <w:szCs w:val="22"/>
        </w:rPr>
        <w:t xml:space="preserve">Card material: Locally sourced card stock.</w:t>
      </w:r>
    </w:p>
    <w:p>
      <w:pPr>
        <w:pStyle w:val="ListParagraph"/>
        <w:numPr>
          <w:ilvl w:val="0"/>
          <w:numId w:val="2"/>
        </w:numPr>
        <w:spacing w:after="80"/>
      </w:pPr>
      <w:r>
        <w:rPr>
          <w:rFonts w:ascii="Arial" w:cs="Arial" w:eastAsia="Arial" w:hAnsi="Arial"/>
          <w:sz w:val="22"/>
          <w:szCs w:val="22"/>
        </w:rPr>
        <w:t xml:space="preserve">ID prefix: NAM- or KAV- (community’s choosing).</w:t>
      </w:r>
    </w:p>
    <w:p>
      <w:pPr>
        <w:pStyle w:val="ListParagraph"/>
        <w:numPr>
          <w:ilvl w:val="0"/>
          <w:numId w:val="2"/>
        </w:numPr>
        <w:spacing w:after="80"/>
      </w:pPr>
      <w:r>
        <w:rPr>
          <w:rFonts w:ascii="Arial" w:cs="Arial" w:eastAsia="Arial" w:hAnsi="Arial"/>
          <w:sz w:val="22"/>
          <w:szCs w:val="22"/>
        </w:rPr>
        <w:t xml:space="preserve">Field contact approach: Traditional headmen and senior community members who organize Ilima work parties.</w:t>
      </w:r>
    </w:p>
    <w:p>
      <w:pPr>
        <w:pStyle w:val="Heading2"/>
      </w:pPr>
      <w:r>
        <w:t xml:space="preserve">8.3 Introduction Approach</w:t>
      </w:r>
    </w:p>
    <w:p>
      <w:pPr>
        <w:spacing w:after="120"/>
      </w:pPr>
      <w:r>
        <w:rPr>
          <w:rFonts w:ascii="Arial" w:cs="Arial" w:eastAsia="Arial" w:hAnsi="Arial"/>
          <w:sz w:val="22"/>
          <w:szCs w:val="22"/>
        </w:rPr>
        <w:t xml:space="preserve">REP should not be introduced as a new system. It should be introduced as a memory layer for what communities already do. The framing to a village elder is simple:</w:t>
      </w:r>
    </w:p>
    <w:p>
      <w:pPr>
        <w:spacing w:before="120" w:after="120"/>
        <w:ind w:left="720" w:right="720"/>
      </w:pPr>
      <w:r>
        <w:rPr>
          <w:rFonts w:ascii="Arial" w:cs="Arial" w:eastAsia="Arial" w:hAnsi="Arial"/>
          <w:color w:val="4A6FA5"/>
          <w:sz w:val="22"/>
          <w:szCs w:val="22"/>
        </w:rPr>
        <w:t xml:space="preserve">"You already do this. This card just remembers it."</w:t>
      </w:r>
    </w:p>
    <w:p>
      <w:pPr>
        <w:spacing w:after="120"/>
      </w:pPr>
      <w:r>
        <w:rPr>
          <w:rFonts w:ascii="Arial" w:cs="Arial" w:eastAsia="Arial" w:hAnsi="Arial"/>
          <w:sz w:val="22"/>
          <w:szCs w:val="22"/>
        </w:rPr>
        <w:t xml:space="preserve">The first adoption event is a witnessed REP exchange between two community members who have a natural existing reciprocal relationship. Not a presentation. Not a pitch. A single witnessed event.</w:t>
      </w:r>
    </w:p>
    <w:p>
      <w:pPr>
        <w:pBdr>
          <w:bottom w:val="single" w:color="CCCCCC" w:sz="2" w:space="1"/>
        </w:pBdr>
        <w:spacing w:before="160" w:after="160"/>
      </w:pPr>
      <w:r>
        <w:t xml:space="preserve"/>
      </w:r>
    </w:p>
    <w:p>
      <w:pPr>
        <w:pStyle w:val="Heading1"/>
      </w:pPr>
      <w:r>
        <w:t xml:space="preserve">9. Relationship to Operational Systems</w:t>
      </w:r>
    </w:p>
    <w:p>
      <w:pPr>
        <w:spacing w:after="120"/>
      </w:pPr>
      <w:r>
        <w:rPr>
          <w:rFonts w:ascii="Arial" w:cs="Arial" w:eastAsia="Arial" w:hAnsi="Arial"/>
          <w:sz w:val="22"/>
          <w:szCs w:val="22"/>
        </w:rPr>
        <w:t xml:space="preserve">REP is an informational layer. It records what humans choose to witness. It does not coordinate operations.</w:t>
      </w:r>
    </w:p>
    <w:p>
      <w:pPr>
        <w:spacing w:after="120"/>
      </w:pPr>
      <w:r>
        <w:rPr>
          <w:rFonts w:ascii="Arial" w:cs="Arial" w:eastAsia="Arial" w:hAnsi="Arial"/>
          <w:sz w:val="22"/>
          <w:szCs w:val="22"/>
        </w:rPr>
        <w:t xml:space="preserve">The Autonomous Resource Coordination (ARC) system — or any equivalent operational layer managing farm, kitchen, store, or resource workflows — is parallel to REP, not integrated with it. The two systems are connected only through deliberate human choice, not through system integration.</w:t>
      </w:r>
    </w:p>
    <w:p>
      <w:pPr>
        <w:pStyle w:val="ListParagraph"/>
        <w:numPr>
          <w:ilvl w:val="0"/>
          <w:numId w:val="2"/>
        </w:numPr>
        <w:spacing w:after="80"/>
      </w:pPr>
      <w:r>
        <w:rPr>
          <w:rFonts w:ascii="Arial" w:cs="Arial" w:eastAsia="Arial" w:hAnsi="Arial"/>
          <w:sz w:val="22"/>
          <w:szCs w:val="22"/>
        </w:rPr>
        <w:t xml:space="preserve">ARC coordinates. REP documents.</w:t>
      </w:r>
    </w:p>
    <w:p>
      <w:pPr>
        <w:pStyle w:val="ListParagraph"/>
        <w:numPr>
          <w:ilvl w:val="0"/>
          <w:numId w:val="2"/>
        </w:numPr>
        <w:spacing w:after="80"/>
      </w:pPr>
      <w:r>
        <w:rPr>
          <w:rFonts w:ascii="Arial" w:cs="Arial" w:eastAsia="Arial" w:hAnsi="Arial"/>
          <w:sz w:val="22"/>
          <w:szCs w:val="22"/>
        </w:rPr>
        <w:t xml:space="preserve">ARC is sovereign and monetisable. REP is ownerless and non-monetisable.</w:t>
      </w:r>
    </w:p>
    <w:p>
      <w:pPr>
        <w:pStyle w:val="ListParagraph"/>
        <w:numPr>
          <w:ilvl w:val="0"/>
          <w:numId w:val="2"/>
        </w:numPr>
        <w:spacing w:after="80"/>
      </w:pPr>
      <w:r>
        <w:rPr>
          <w:rFonts w:ascii="Arial" w:cs="Arial" w:eastAsia="Arial" w:hAnsi="Arial"/>
          <w:sz w:val="22"/>
          <w:szCs w:val="22"/>
        </w:rPr>
        <w:t xml:space="preserve">ARC scales. REP replicates by forking.</w:t>
      </w:r>
    </w:p>
    <w:p>
      <w:pPr>
        <w:pStyle w:val="ListParagraph"/>
        <w:numPr>
          <w:ilvl w:val="0"/>
          <w:numId w:val="2"/>
        </w:numPr>
        <w:spacing w:after="80"/>
      </w:pPr>
      <w:r>
        <w:rPr>
          <w:rFonts w:ascii="Arial" w:cs="Arial" w:eastAsia="Arial" w:hAnsi="Arial"/>
          <w:sz w:val="22"/>
          <w:szCs w:val="22"/>
        </w:rPr>
        <w:t xml:space="preserve">ARC automates. REP requires human mediation at every step.</w:t>
      </w:r>
    </w:p>
    <w:p>
      <w:pPr>
        <w:spacing w:after="120"/>
      </w:pPr>
      <w:r>
        <w:rPr>
          <w:rFonts w:ascii="Arial" w:cs="Arial" w:eastAsia="Arial" w:hAnsi="Arial"/>
          <w:sz w:val="22"/>
          <w:szCs w:val="22"/>
        </w:rPr>
        <w:t xml:space="preserve">Any technical integration between REP records and operational systems must preserve human agency at the boundary. Automation may assist with record-keeping (digitising physical cards, generating reports) but may not trigger operational consequences from REP records without human authorisation.</w:t>
      </w:r>
    </w:p>
    <w:p>
      <w:pPr>
        <w:pBdr>
          <w:bottom w:val="single" w:color="CCCCCC" w:sz="2" w:space="1"/>
        </w:pBdr>
        <w:spacing w:before="160" w:after="160"/>
      </w:pPr>
      <w:r>
        <w:t xml:space="preserve"/>
      </w:r>
    </w:p>
    <w:p>
      <w:pPr>
        <w:pStyle w:val="Heading1"/>
      </w:pPr>
      <w:r>
        <w:t xml:space="preserve">10. Security Considerations</w:t>
      </w:r>
    </w:p>
    <w:p>
      <w:pPr>
        <w:pStyle w:val="Heading2"/>
      </w:pPr>
      <w:r>
        <w:t xml:space="preserve">10.1 Physical Card Security Features</w:t>
      </w:r>
    </w:p>
    <w:p>
      <w:pPr>
        <w:pStyle w:val="ListParagraph"/>
        <w:numPr>
          <w:ilvl w:val="0"/>
          <w:numId w:val="2"/>
        </w:numPr>
        <w:spacing w:after="80"/>
      </w:pPr>
      <w:r>
        <w:rPr>
          <w:rFonts w:ascii="Arial" w:cs="Arial" w:eastAsia="Arial" w:hAnsi="Arial"/>
          <w:sz w:val="22"/>
          <w:szCs w:val="22"/>
        </w:rPr>
        <w:t xml:space="preserve">UV-reactive fibres in paper substrate.</w:t>
      </w:r>
    </w:p>
    <w:p>
      <w:pPr>
        <w:pStyle w:val="ListParagraph"/>
        <w:numPr>
          <w:ilvl w:val="0"/>
          <w:numId w:val="2"/>
        </w:numPr>
        <w:spacing w:after="80"/>
      </w:pPr>
      <w:r>
        <w:rPr>
          <w:rFonts w:ascii="Arial" w:cs="Arial" w:eastAsia="Arial" w:hAnsi="Arial"/>
          <w:sz w:val="22"/>
          <w:szCs w:val="22"/>
        </w:rPr>
        <w:t xml:space="preserve">Security thread embedded in card stock.</w:t>
      </w:r>
    </w:p>
    <w:p>
      <w:pPr>
        <w:pStyle w:val="ListParagraph"/>
        <w:numPr>
          <w:ilvl w:val="0"/>
          <w:numId w:val="2"/>
        </w:numPr>
        <w:spacing w:after="80"/>
      </w:pPr>
      <w:r>
        <w:rPr>
          <w:rFonts w:ascii="Arial" w:cs="Arial" w:eastAsia="Arial" w:hAnsi="Arial"/>
          <w:sz w:val="22"/>
          <w:szCs w:val="22"/>
        </w:rPr>
        <w:t xml:space="preserve">VOID pantograph visible under photocopying.</w:t>
      </w:r>
    </w:p>
    <w:p>
      <w:pPr>
        <w:pStyle w:val="ListParagraph"/>
        <w:numPr>
          <w:ilvl w:val="0"/>
          <w:numId w:val="2"/>
        </w:numPr>
        <w:spacing w:after="80"/>
      </w:pPr>
      <w:r>
        <w:rPr>
          <w:rFonts w:ascii="Arial" w:cs="Arial" w:eastAsia="Arial" w:hAnsi="Arial"/>
          <w:sz w:val="22"/>
          <w:szCs w:val="22"/>
        </w:rPr>
        <w:t xml:space="preserve">Village watermark motif (embossed or printed).</w:t>
      </w:r>
    </w:p>
    <w:p>
      <w:pPr>
        <w:pStyle w:val="ListParagraph"/>
        <w:numPr>
          <w:ilvl w:val="0"/>
          <w:numId w:val="2"/>
        </w:numPr>
        <w:spacing w:after="80"/>
      </w:pPr>
      <w:r>
        <w:rPr>
          <w:rFonts w:ascii="Arial" w:cs="Arial" w:eastAsia="Arial" w:hAnsi="Arial"/>
          <w:sz w:val="22"/>
          <w:szCs w:val="22"/>
        </w:rPr>
        <w:t xml:space="preserve">Thumbprint or signature fields for biometric anchoring.</w:t>
      </w:r>
    </w:p>
    <w:p>
      <w:pPr>
        <w:pStyle w:val="Heading2"/>
      </w:pPr>
      <w:r>
        <w:t xml:space="preserve">10.2 Social Security</w:t>
      </w:r>
    </w:p>
    <w:p>
      <w:pPr>
        <w:spacing w:after="120"/>
      </w:pPr>
      <w:r>
        <w:rPr>
          <w:rFonts w:ascii="Arial" w:cs="Arial" w:eastAsia="Arial" w:hAnsi="Arial"/>
          <w:sz w:val="22"/>
          <w:szCs w:val="22"/>
        </w:rPr>
        <w:t xml:space="preserve">The primary security mechanism of REP is social, not technical. The witnessing requirement, the community density constraint, and the reputation enforcement are more robust than any cryptographic scheme in contexts where social fabric is intact.</w:t>
      </w:r>
    </w:p>
    <w:p>
      <w:pPr>
        <w:pStyle w:val="Heading2"/>
      </w:pPr>
      <w:r>
        <w:t xml:space="preserve">10.3 Failure Modes</w:t>
      </w:r>
    </w:p>
    <w:p>
      <w:pPr>
        <w:pStyle w:val="ListParagraph"/>
        <w:numPr>
          <w:ilvl w:val="0"/>
          <w:numId w:val="2"/>
        </w:numPr>
        <w:spacing w:after="80"/>
      </w:pPr>
      <w:r>
        <w:rPr>
          <w:rFonts w:ascii="Arial" w:cs="Arial" w:eastAsia="Arial" w:hAnsi="Arial"/>
          <w:sz w:val="22"/>
          <w:szCs w:val="22"/>
        </w:rPr>
        <w:t xml:space="preserve">Collusion between parties and witnesses to create false records. Mitigated by community density and reputation.</w:t>
      </w:r>
    </w:p>
    <w:p>
      <w:pPr>
        <w:pStyle w:val="ListParagraph"/>
        <w:numPr>
          <w:ilvl w:val="0"/>
          <w:numId w:val="2"/>
        </w:numPr>
        <w:spacing w:after="80"/>
      </w:pPr>
      <w:r>
        <w:rPr>
          <w:rFonts w:ascii="Arial" w:cs="Arial" w:eastAsia="Arial" w:hAnsi="Arial"/>
          <w:sz w:val="22"/>
          <w:szCs w:val="22"/>
        </w:rPr>
        <w:t xml:space="preserve">Record forgery. Mitigated by physical security features and witness confirmation.</w:t>
      </w:r>
    </w:p>
    <w:p>
      <w:pPr>
        <w:pStyle w:val="ListParagraph"/>
        <w:numPr>
          <w:ilvl w:val="0"/>
          <w:numId w:val="2"/>
        </w:numPr>
        <w:spacing w:after="80"/>
      </w:pPr>
      <w:r>
        <w:rPr>
          <w:rFonts w:ascii="Arial" w:cs="Arial" w:eastAsia="Arial" w:hAnsi="Arial"/>
          <w:sz w:val="22"/>
          <w:szCs w:val="22"/>
        </w:rPr>
        <w:t xml:space="preserve">Status manipulation (marking Unresolved as Completed). Mitigated by requiring both parties and witnesses to agree on Completed status.</w:t>
      </w:r>
    </w:p>
    <w:p>
      <w:pPr>
        <w:pStyle w:val="ListParagraph"/>
        <w:numPr>
          <w:ilvl w:val="0"/>
          <w:numId w:val="2"/>
        </w:numPr>
        <w:spacing w:after="80"/>
      </w:pPr>
      <w:r>
        <w:rPr>
          <w:rFonts w:ascii="Arial" w:cs="Arial" w:eastAsia="Arial" w:hAnsi="Arial"/>
          <w:sz w:val="22"/>
          <w:szCs w:val="22"/>
        </w:rPr>
        <w:t xml:space="preserve">Protocol capture (a party claiming to own or control REP). Mitigated by this specification’s explicit prohibition and the forkability of the protocol.</w:t>
      </w:r>
    </w:p>
    <w:p>
      <w:pPr>
        <w:pBdr>
          <w:bottom w:val="single" w:color="CCCCCC" w:sz="2" w:space="1"/>
        </w:pBdr>
        <w:spacing w:before="160" w:after="160"/>
      </w:pPr>
      <w:r>
        <w:t xml:space="preserve"/>
      </w:r>
    </w:p>
    <w:p>
      <w:pPr>
        <w:pStyle w:val="Heading1"/>
      </w:pPr>
      <w:r>
        <w:t xml:space="preserve">11. Appendix: Glossary</w:t>
      </w:r>
    </w:p>
    <w:p>
      <w:pPr>
        <w:spacing w:after="80"/>
      </w:pPr>
      <w:r>
        <w:rPr>
          <w:rFonts w:ascii="Arial" w:cs="Arial" w:eastAsia="Arial" w:hAnsi="Arial"/>
          <w:b/>
          <w:bCs/>
          <w:color w:val="1C3557"/>
          <w:sz w:val="22"/>
          <w:szCs w:val="22"/>
        </w:rPr>
        <w:t xml:space="preserve">REP: </w:t>
      </w:r>
      <w:r>
        <w:rPr>
          <w:rFonts w:ascii="Arial" w:cs="Arial" w:eastAsia="Arial" w:hAnsi="Arial"/>
          <w:sz w:val="22"/>
          <w:szCs w:val="22"/>
        </w:rPr>
        <w:t xml:space="preserve">Ritual Event Protocol. The coordination grammar defined by this document.</w:t>
      </w:r>
    </w:p>
    <w:p>
      <w:pPr>
        <w:spacing w:after="80"/>
      </w:pPr>
      <w:r>
        <w:rPr>
          <w:rFonts w:ascii="Arial" w:cs="Arial" w:eastAsia="Arial" w:hAnsi="Arial"/>
          <w:b/>
          <w:bCs/>
          <w:color w:val="1C3557"/>
          <w:sz w:val="22"/>
          <w:szCs w:val="22"/>
        </w:rPr>
        <w:t xml:space="preserve">ARC: </w:t>
      </w:r>
      <w:r>
        <w:rPr>
          <w:rFonts w:ascii="Arial" w:cs="Arial" w:eastAsia="Arial" w:hAnsi="Arial"/>
          <w:sz w:val="22"/>
          <w:szCs w:val="22"/>
        </w:rPr>
        <w:t xml:space="preserve">Autonomous Resource Coordination. An operational layer for land-based production. Parallel to, not integrated with, REP.</w:t>
      </w:r>
    </w:p>
    <w:p>
      <w:pPr>
        <w:spacing w:after="80"/>
      </w:pPr>
      <w:r>
        <w:rPr>
          <w:rFonts w:ascii="Arial" w:cs="Arial" w:eastAsia="Arial" w:hAnsi="Arial"/>
          <w:b/>
          <w:bCs/>
          <w:color w:val="1C3557"/>
          <w:sz w:val="22"/>
          <w:szCs w:val="22"/>
        </w:rPr>
        <w:t xml:space="preserve">Parma: </w:t>
      </w:r>
      <w:r>
        <w:rPr>
          <w:rFonts w:ascii="Arial" w:cs="Arial" w:eastAsia="Arial" w:hAnsi="Arial"/>
          <w:sz w:val="22"/>
          <w:szCs w:val="22"/>
        </w:rPr>
        <w:t xml:space="preserve">Traditional rotational labor exchange system in Nepali hill communities.</w:t>
      </w:r>
    </w:p>
    <w:p>
      <w:pPr>
        <w:spacing w:after="80"/>
      </w:pPr>
      <w:r>
        <w:rPr>
          <w:rFonts w:ascii="Arial" w:cs="Arial" w:eastAsia="Arial" w:hAnsi="Arial"/>
          <w:b/>
          <w:bCs/>
          <w:color w:val="1C3557"/>
          <w:sz w:val="22"/>
          <w:szCs w:val="22"/>
        </w:rPr>
        <w:t xml:space="preserve">Ilima: </w:t>
      </w:r>
      <w:r>
        <w:rPr>
          <w:rFonts w:ascii="Arial" w:cs="Arial" w:eastAsia="Arial" w:hAnsi="Arial"/>
          <w:sz w:val="22"/>
          <w:szCs w:val="22"/>
        </w:rPr>
        <w:t xml:space="preserve">Traditional communal labor pooling practice in Southern African communities.</w:t>
      </w:r>
    </w:p>
    <w:p>
      <w:pPr>
        <w:spacing w:after="80"/>
      </w:pPr>
      <w:r>
        <w:rPr>
          <w:rFonts w:ascii="Arial" w:cs="Arial" w:eastAsia="Arial" w:hAnsi="Arial"/>
          <w:b/>
          <w:bCs/>
          <w:color w:val="1C3557"/>
          <w:sz w:val="22"/>
          <w:szCs w:val="22"/>
        </w:rPr>
        <w:t xml:space="preserve">Witnessing layer: </w:t>
      </w:r>
      <w:r>
        <w:rPr>
          <w:rFonts w:ascii="Arial" w:cs="Arial" w:eastAsia="Arial" w:hAnsi="Arial"/>
          <w:sz w:val="22"/>
          <w:szCs w:val="22"/>
        </w:rPr>
        <w:t xml:space="preserve">A system that records agreements without enforcing them.</w:t>
      </w:r>
    </w:p>
    <w:p>
      <w:pPr>
        <w:spacing w:after="80"/>
      </w:pPr>
      <w:r>
        <w:rPr>
          <w:rFonts w:ascii="Arial" w:cs="Arial" w:eastAsia="Arial" w:hAnsi="Arial"/>
          <w:b/>
          <w:bCs/>
          <w:color w:val="1C3557"/>
          <w:sz w:val="22"/>
          <w:szCs w:val="22"/>
        </w:rPr>
        <w:t xml:space="preserve">Fork: </w:t>
      </w:r>
      <w:r>
        <w:rPr>
          <w:rFonts w:ascii="Arial" w:cs="Arial" w:eastAsia="Arial" w:hAnsi="Arial"/>
          <w:sz w:val="22"/>
          <w:szCs w:val="22"/>
        </w:rPr>
        <w:t xml:space="preserve">A community’s adaptation of REP under a new name, prefix, or design, without permission from any central authority.</w:t>
      </w:r>
    </w:p>
    <w:p>
      <w:pPr>
        <w:spacing w:after="80"/>
      </w:pPr>
      <w:r>
        <w:rPr>
          <w:rFonts w:ascii="Arial" w:cs="Arial" w:eastAsia="Arial" w:hAnsi="Arial"/>
          <w:b/>
          <w:bCs/>
          <w:color w:val="1C3557"/>
          <w:sz w:val="22"/>
          <w:szCs w:val="22"/>
        </w:rPr>
        <w:t xml:space="preserve">Social density: </w:t>
      </w:r>
      <w:r>
        <w:rPr>
          <w:rFonts w:ascii="Arial" w:cs="Arial" w:eastAsia="Arial" w:hAnsi="Arial"/>
          <w:sz w:val="22"/>
          <w:szCs w:val="22"/>
        </w:rPr>
        <w:t xml:space="preserve">The range of community size (15–150) within which REP’s reputation-based enforcement functions reliably.</w:t>
      </w:r>
    </w:p>
    <w:p>
      <w:pPr>
        <w:spacing w:after="80"/>
      </w:pPr>
      <w:r>
        <w:rPr>
          <w:rFonts w:ascii="Arial" w:cs="Arial" w:eastAsia="Arial" w:hAnsi="Arial"/>
          <w:b/>
          <w:bCs/>
          <w:color w:val="1C3557"/>
          <w:sz w:val="22"/>
          <w:szCs w:val="22"/>
        </w:rPr>
        <w:t xml:space="preserve">Unit of account: </w:t>
      </w:r>
      <w:r>
        <w:rPr>
          <w:rFonts w:ascii="Arial" w:cs="Arial" w:eastAsia="Arial" w:hAnsi="Arial"/>
          <w:sz w:val="22"/>
          <w:szCs w:val="22"/>
        </w:rPr>
        <w:t xml:space="preserve">A standard measure of value. REP explicitly prohibits its use.</w:t>
      </w:r>
    </w:p>
    <w:p>
      <w:pPr>
        <w:pBdr>
          <w:bottom w:val="single" w:color="CCCCCC" w:sz="2" w:space="1"/>
        </w:pBdr>
        <w:spacing w:before="160" w:after="160"/>
      </w:pPr>
      <w:r>
        <w:t xml:space="preserve"/>
      </w:r>
    </w:p>
    <w:p>
      <w:pPr>
        <w:spacing w:after="80"/>
      </w:pPr>
      <w:r>
        <w:t xml:space="preserve"/>
      </w:r>
    </w:p>
    <w:p>
      <w:pPr>
        <w:spacing w:after="80"/>
        <w:jc w:val="center"/>
      </w:pPr>
      <w:r>
        <w:rPr>
          <w:rFonts w:ascii="Arial" w:cs="Arial" w:eastAsia="Arial" w:hAnsi="Arial"/>
          <w:b/>
          <w:bCs/>
          <w:color w:val="1C3557"/>
          <w:sz w:val="22"/>
          <w:szCs w:val="22"/>
        </w:rPr>
        <w:t xml:space="preserve">This document has no owner.</w:t>
      </w:r>
    </w:p>
    <w:p>
      <w:pPr>
        <w:spacing w:after="80"/>
        <w:jc w:val="center"/>
      </w:pPr>
      <w:r>
        <w:rPr>
          <w:rFonts w:ascii="Arial" w:cs="Arial" w:eastAsia="Arial" w:hAnsi="Arial"/>
          <w:color w:val="666666"/>
          <w:sz w:val="22"/>
          <w:szCs w:val="22"/>
        </w:rPr>
        <w:t xml:space="preserve">Fork it. Translate it. Adapt it. No permission required.</w:t>
      </w:r>
    </w:p>
    <w:p>
      <w:pPr>
        <w:spacing w:after="80"/>
        <w:jc w:val="center"/>
      </w:pPr>
      <w:r>
        <w:rPr>
          <w:rFonts w:ascii="Arial" w:cs="Arial" w:eastAsia="Arial" w:hAnsi="Arial"/>
          <w:color w:val="999999"/>
          <w:sz w:val="20"/>
          <w:szCs w:val="20"/>
        </w:rPr>
        <w:t xml:space="preserve">REP-RFC-001 — Version 1.0 — April 2024</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888888"/>
        <w:sz w:val="18"/>
        <w:szCs w:val="18"/>
      </w:rPr>
      <w:t xml:space="preserve">This document carries no license and no owner. Fork freely.</w:t>
    </w:r>
    <w:r>
      <w:rPr>
        <w:rFonts w:ascii="Arial" w:cs="Arial" w:eastAsia="Arial" w:hAnsi="Arial"/>
        <w:color w:val="888888"/>
        <w:sz w:val="18"/>
        <w:szCs w:val="18"/>
      </w:rPr>
      <w:t xml:space="preserve">	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8"/>
        <w:szCs w:val="18"/>
      </w:rPr>
      <w:t xml:space="preserve">REP RFC-001 — Ritual Event Protocol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ind w:left="1080" w:hanging="36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4A6FA5" w:sz="4" w:space="4"/>
      </w:pBdr>
      <w:spacing w:before="320" w:after="120"/>
      <w:outlineLvl w:val="0"/>
    </w:pPr>
    <w:rPr>
      <w:rFonts w:ascii="Arial" w:cs="Arial" w:eastAsia="Arial" w:hAnsi="Arial"/>
      <w:b/>
      <w:bCs/>
      <w:color w:val="1C3557"/>
      <w:sz w:val="28"/>
      <w:szCs w:val="28"/>
    </w:rPr>
  </w:style>
  <w:style w:type="paragraph" w:styleId="Heading2">
    <w:name w:val="Heading 2"/>
    <w:basedOn w:val="Normal"/>
    <w:next w:val="Normal"/>
    <w:qFormat/>
    <w:pPr>
      <w:spacing w:before="240" w:after="80"/>
      <w:outlineLvl w:val="1"/>
    </w:pPr>
    <w:rPr>
      <w:rFonts w:ascii="Arial" w:cs="Arial" w:eastAsia="Arial" w:hAnsi="Arial"/>
      <w:b/>
      <w:bCs/>
      <w:color w:val="4A6FA5"/>
      <w:sz w:val="24"/>
      <w:szCs w:val="24"/>
    </w:rPr>
  </w:style>
  <w:style w:type="paragraph" w:styleId="Heading3">
    <w:name w:val="Heading 3"/>
    <w:basedOn w:val="Normal"/>
    <w:next w:val="Normal"/>
    <w:qFormat/>
    <w:pPr>
      <w:spacing w:before="160" w:after="6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2026-03-09T21:15:44.251Z</dcterms:created>
  <dcterms:modified xsi:type="dcterms:W3CDTF">2026-03-09T21:15:44.253Z</dcterms:modified>
</cp:coreProperties>
</file>

<file path=docProps/custom.xml><?xml version="1.0" encoding="utf-8"?>
<Properties xmlns="http://schemas.openxmlformats.org/officeDocument/2006/custom-properties" xmlns:vt="http://schemas.openxmlformats.org/officeDocument/2006/docPropsVTypes"/>
</file>